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Buell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149 FIFTH AVENUE,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MiNK Therapeutics, Inc.</w:t>
              </w:r>
            </w:hyperlink>
            <w:r>
              <w:rPr/>
              <w:t xml:space="preserve"> [ </w:t>
            </w:r>
            <w:r>
              <w:rPr>
                <w:rFonts w:ascii="Times;serif" w:hAnsi="Times;serif"/>
                <w:color w:val="0000FF"/>
                <w:sz w:val="24"/>
                <w:shd w:fill="FFFFFF" w:val="clear"/>
              </w:rPr>
              <w:t>INKT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23,191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81,133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6,938</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10.56</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74,195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23,191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46,382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 of MiNK Therapeutics, Inc.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sales of shares, as a consequence of the vesting of restricted stock units, solely to satisfy tax withholding obligations incurred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weighted average price. The shares were sold in multiple transactions at prices ranging from $10.33 to $10.61. The reporting person undertakes to provide to the Company, any shareholder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October 11, 2023 the reporting person was granted RSUs under the Company's 2021 Equity Incentive Plan, vesting in three substantially equal annual installments on each of the third, fourth and fifth anniversaries of the grant date. This award was previously reported as covering 695,750 RSUs but was adjusted to 69,573 RSUs to reflect the 1-for-10 reverse stock split (rounding) that occurred on January 28,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Orilall, as Attorney-in-Fact for Jennifer Buell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1184" TargetMode="External"/><Relationship Id="rId5" Type="http://schemas.openxmlformats.org/officeDocument/2006/relationships/hyperlink" Target="http://www.sec.gov/cgi-bin/browse-edgar?action=getcompany&amp;CIK=0001840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4174</Characters>
  <CharactersWithSpaces>4855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