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Ryan Barbara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149 FIFTH AVENUE, SUITE 500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MiNK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INKT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03/02/2026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10010</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220" w:type="dxa"/>
            <w:vAlign w:val="bottom"/>
            <w:gridSpan w:val="8"/>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4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03/02/2026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1,629</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gridSpan w:val="3"/>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10.9</w:t>
            </w:r>
            <w:r>
              <w:rPr>
                <w:rFonts w:ascii="Times New Roman" w:cs="Times New Roman" w:eastAsia="Times New Roman" w:hAnsi="Times New Roman"/>
                <w:sz w:val="22"/>
                <w:szCs w:val="22"/>
                <w:color w:val="008000"/>
                <w:vertAlign w:val="superscript"/>
              </w:rPr>
              <w:t>(2)</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22,035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06/01/2026</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1,434</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12.38</w:t>
            </w:r>
            <w:r>
              <w:rPr>
                <w:rFonts w:ascii="Times New Roman" w:cs="Times New Roman" w:eastAsia="Times New Roman" w:hAnsi="Times New Roman"/>
                <w:sz w:val="22"/>
                <w:szCs w:val="22"/>
                <w:color w:val="008000"/>
                <w:vertAlign w:val="superscript"/>
              </w:rPr>
              <w:t>(1)</w:t>
            </w:r>
          </w:p>
        </w:tc>
        <w:tc>
          <w:tcPr>
            <w:tcW w:w="3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23,469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8"/>
              </w:rPr>
              <w:t>Expiration</w:t>
            </w:r>
          </w:p>
        </w:tc>
        <w:tc>
          <w:tcPr>
            <w:tcW w:w="42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was granted restricted stock units ("RSUs"), which represent a contingent right to receive one share of Common Stock for each RSU. The RSUs were received in lieu of cash retainers for board and committee compensation. The RSUs will vest one month from the grant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Due to an administrative error, the RSUs for Q1 2026 Board and committee compensation were not filed timely.</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/s/ Melissa Orilall,</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06/01/2026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00" w:type="dxa"/>
            <w:vAlign w:val="bottom"/>
            <w:tcBorders>
              <w:top w:val="single" w:sz="8" w:color="auto"/>
            </w:tcBorders>
            <w:vMerge w:val="restart"/>
          </w:tcPr>
          <w:p>
            <w:pPr>
              <w:spacing w:after="0"/>
              <w:rPr>
                <w:sz w:val="7"/>
                <w:szCs w:val="7"/>
                <w:color w:val="auto"/>
              </w:rPr>
            </w:pPr>
          </w:p>
        </w:tc>
        <w:tc>
          <w:tcPr>
            <w:tcW w:w="5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400" w:type="dxa"/>
            <w:vAlign w:val="bottom"/>
            <w:tcBorders>
              <w:top w:val="single" w:sz="8" w:color="auto"/>
            </w:tcBorders>
            <w:vMerge w:val="continue"/>
          </w:tcPr>
          <w:p>
            <w:pPr>
              <w:spacing w:after="0"/>
              <w:rPr>
                <w:sz w:val="7"/>
                <w:szCs w:val="7"/>
                <w:color w:val="auto"/>
              </w:rPr>
            </w:pPr>
          </w:p>
        </w:tc>
        <w:tc>
          <w:tcPr>
            <w:tcW w:w="5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27169" TargetMode="External"/><Relationship Id="rId14" Type="http://schemas.openxmlformats.org/officeDocument/2006/relationships/hyperlink" Target="http://www.sec.gov/cgi-bin/browse-edgar?action=getcompany&amp;CIK=00018402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2026-06-02T15:13:46Z</dcterms:created>
  <dcterms:modified xsi:type="dcterms:W3CDTF">2026-06-02T15:13:46Z</dcterms:modified>
</cp:coreProperties>
</file>