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Holcomb John Bradley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149 FIFTH AVENUE, SUITE 500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MiNK Therapeutics, Inc.</w:t>
              </w:r>
            </w:hyperlink>
            <w:r>
              <w:rPr/>
              <w:t xml:space="preserve"> [ </w:t>
            </w:r>
            <w:r>
              <w:rPr>
                <w:rFonts w:ascii="Times;serif" w:hAnsi="Times;serif"/>
                <w:color w:val="0000FF"/>
                <w:sz w:val="24"/>
                <w:shd w:fill="FFFFFF" w:val="clear"/>
              </w:rPr>
              <w:t>INKT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4,174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were awarded in accordance with the MiNK Therapeutics Inc. 2021 Amended and Restated Equity Incentive Plan on September 23, 2025 and will vest in three equal annual installments on each of September 23, 2026, 2027 and 2028 (provided Dr. Holcomb maintains a service relationship with the company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Austin Charette, Attorney-in-Fact for John Holcomb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279" TargetMode="External"/><Relationship Id="rId5" Type="http://schemas.openxmlformats.org/officeDocument/2006/relationships/hyperlink" Target="http://www.sec.gov/cgi-bin/browse-edgar?action=getcompany&amp;CIK=0001840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3393</Characters>
  <CharactersWithSpaces>3959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