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inkt-20260331.htm"/>
      <w:bookmarkStart w:id="1" w:name="ksinkt20260331"/>
      <w:bookmarkEnd w:id="0"/>
      <w:bookmarkEnd w:id="1"/>
      <w:r>
        <w:rPr/>
        <w:t> </w:t>
      </w:r>
    </w:p>
    <w:p>
      <w:pPr>
        <w:pStyle w:val="TextBody"/>
        <w:bidi w:val="0"/>
        <w:jc w:val="left"/>
        <w:rPr/>
      </w:pPr>
      <w:r>
        <w:rPr/>
        <w:t> </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40" w:after="100"/>
        <w:jc w:val="center"/>
        <w:rPr/>
      </w:pPr>
      <w:r>
        <w:rPr/>
        <w:t> </w:t>
      </w:r>
    </w:p>
    <w:p>
      <w:pPr>
        <w:pStyle w:val="TextBody"/>
        <w:bidi w:val="0"/>
        <w:spacing w:before="20" w:after="283"/>
        <w:jc w:val="center"/>
        <w:rPr>
          <w:rFonts w:ascii="Times New Roman" w:hAnsi="Times New Roman"/>
          <w:b/>
          <w:color w:val="000000"/>
          <w:sz w:val="36"/>
        </w:rPr>
      </w:pPr>
      <w:r>
        <w:rPr>
          <w:rFonts w:ascii="Times New Roman" w:hAnsi="Times New Roman"/>
          <w:b/>
          <w:color w:val="000000"/>
          <w:sz w:val="36"/>
        </w:rPr>
        <w:t>FORM 10-Q</w:t>
      </w:r>
    </w:p>
    <w:p>
      <w:pPr>
        <w:pStyle w:val="TextBody"/>
        <w:bidi w:val="0"/>
        <w:spacing w:before="90" w:after="283"/>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March 31, 2026</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transition period from _______________ to _______________</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001-40908</w:t>
      </w:r>
    </w:p>
    <w:p>
      <w:pPr>
        <w:pStyle w:val="TextBody"/>
        <w:pBdr>
          <w:bottom w:val="single" w:sz="4" w:space="1" w:color="000000"/>
        </w:pBdr>
        <w:bidi w:val="0"/>
        <w:spacing w:before="40" w:after="100"/>
        <w:jc w:val="center"/>
        <w:rPr/>
      </w:pPr>
      <w:r>
        <w:rPr/>
        <w:t> </w:t>
      </w:r>
    </w:p>
    <w:p>
      <w:pPr>
        <w:pStyle w:val="TextBody"/>
        <w:bidi w:val="0"/>
        <w:jc w:val="center"/>
        <w:rPr>
          <w:rFonts w:ascii="Times New Roman" w:hAnsi="Times New Roman"/>
          <w:sz w:val="20"/>
        </w:rPr>
      </w:pPr>
      <w:r>
        <w:rPr>
          <w:rFonts w:ascii="Times New Roman" w:hAnsi="Times New Roman"/>
          <w:b/>
          <w:color w:val="000000"/>
          <w:sz w:val="44"/>
        </w:rPr>
        <w:t>MiNK Therapeutics,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40" w:after="283"/>
        <w:jc w:val="center"/>
        <w:rPr/>
      </w:pPr>
      <w:r>
        <w:rPr/>
        <w:t> </w:t>
      </w:r>
    </w:p>
    <w:p>
      <w:pPr>
        <w:pStyle w:val="TextBody"/>
        <w:bidi w:val="0"/>
        <w:jc w:val="left"/>
        <w:rPr/>
      </w:pPr>
      <w:r>
        <w:rPr/>
        <w:t> </w:t>
      </w:r>
    </w:p>
    <w:tbl>
      <w:tblPr>
        <w:tblW w:w="4412" w:type="dxa"/>
        <w:jc w:val="left"/>
        <w:tblInd w:w="0" w:type="dxa"/>
        <w:tblLayout w:type="fixed"/>
        <w:tblCellMar>
          <w:top w:w="28" w:type="dxa"/>
          <w:left w:w="28" w:type="dxa"/>
          <w:bottom w:w="28" w:type="dxa"/>
          <w:right w:w="28" w:type="dxa"/>
        </w:tblCellMar>
      </w:tblPr>
      <w:tblGrid>
        <w:gridCol w:w="2926"/>
        <w:gridCol w:w="1486"/>
      </w:tblGrid>
      <w:tr>
        <w:trPr/>
        <w:tc>
          <w:tcPr>
            <w:tcW w:w="292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Delaware</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82-2142067</w:t>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incorporation or organization)</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(I.R.S. Employer</w:t>
              <w:br/>
              <w:t>Identification No.)</w:t>
            </w:r>
          </w:p>
        </w:tc>
      </w:tr>
      <w:tr>
        <w:trPr/>
        <w:tc>
          <w:tcPr>
            <w:tcW w:w="2926" w:type="dxa"/>
            <w:tcBorders/>
            <w:tcMar>
              <w:top w:w="0" w:type="dxa"/>
              <w:left w:w="0" w:type="dxa"/>
              <w:bottom w:w="0" w:type="dxa"/>
              <w:right w:w="0" w:type="dxa"/>
            </w:tcMar>
            <w:vAlign w:val="center"/>
          </w:tcPr>
          <w:p>
            <w:pPr>
              <w:pStyle w:val="TableContents"/>
              <w:bidi w:val="0"/>
              <w:spacing w:before="80" w:after="283"/>
              <w:jc w:val="center"/>
              <w:rPr>
                <w:rFonts w:ascii="Times New Roman" w:hAnsi="Times New Roman"/>
                <w:b/>
                <w:color w:val="000000"/>
                <w:sz w:val="18"/>
              </w:rPr>
            </w:pPr>
            <w:r>
              <w:rPr>
                <w:rFonts w:ascii="Times New Roman" w:hAnsi="Times New Roman"/>
                <w:b/>
                <w:color w:val="000000"/>
                <w:sz w:val="18"/>
              </w:rPr>
              <w:t>149 Fifth Avenue</w:t>
            </w:r>
          </w:p>
          <w:p>
            <w:pPr>
              <w:pStyle w:val="TableContents"/>
              <w:bidi w:val="0"/>
              <w:jc w:val="center"/>
              <w:rPr>
                <w:rFonts w:ascii="Times New Roman" w:hAnsi="Times New Roman"/>
                <w:b/>
                <w:color w:val="000000"/>
                <w:sz w:val="18"/>
              </w:rPr>
            </w:pPr>
            <w:r>
              <w:rPr>
                <w:rFonts w:ascii="Times New Roman" w:hAnsi="Times New Roman"/>
                <w:b/>
                <w:color w:val="000000"/>
                <w:sz w:val="18"/>
              </w:rPr>
              <w:t>Suite 500</w:t>
            </w:r>
          </w:p>
          <w:p>
            <w:pPr>
              <w:pStyle w:val="TableContents"/>
              <w:bidi w:val="0"/>
              <w:spacing w:before="0" w:after="283"/>
              <w:jc w:val="center"/>
              <w:rPr>
                <w:rFonts w:ascii="Times New Roman" w:hAnsi="Times New Roman"/>
                <w:sz w:val="20"/>
              </w:rPr>
            </w:pPr>
            <w:r>
              <w:rPr>
                <w:rFonts w:ascii="Times New Roman" w:hAnsi="Times New Roman"/>
                <w:b/>
                <w:color w:val="000000"/>
                <w:sz w:val="18"/>
              </w:rPr>
              <w:t>New York, NY</w:t>
            </w:r>
            <w:r>
              <w:rPr>
                <w:rFonts w:ascii="Times New Roman" w:hAnsi="Times New Roman"/>
                <w:color w:val="000000"/>
                <w:sz w:val="20"/>
              </w:rPr>
              <w:t xml:space="preserve">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10010</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80" w:after="283"/>
        <w:jc w:val="center"/>
        <w:rPr>
          <w:rFonts w:ascii="Times New Roman" w:hAnsi="Times New Roman"/>
          <w:b/>
          <w:color w:val="000000"/>
          <w:sz w:val="18"/>
        </w:rPr>
      </w:pPr>
      <w:r>
        <w:rPr>
          <w:rFonts w:ascii="Times New Roman" w:hAnsi="Times New Roman"/>
          <w:b/>
          <w:color w:val="000000"/>
          <w:sz w:val="18"/>
        </w:rPr>
        <w:t>Registrant’s telephone number, including area code: 212-994-8250</w:t>
      </w:r>
    </w:p>
    <w:p>
      <w:pPr>
        <w:pStyle w:val="TextBody"/>
        <w:pBdr>
          <w:bottom w:val="single" w:sz="4" w:space="1" w:color="000000"/>
        </w:pBdr>
        <w:bidi w:val="0"/>
        <w:spacing w:before="40" w:after="283"/>
        <w:jc w:val="center"/>
        <w:rPr/>
      </w:pPr>
      <w:r>
        <w:rPr/>
        <w:t> </w:t>
      </w:r>
    </w:p>
    <w:p>
      <w:pPr>
        <w:pStyle w:val="TextBody"/>
        <w:bidi w:val="0"/>
        <w:jc w:val="left"/>
        <w:rPr/>
      </w:pPr>
      <w:r>
        <w:rPr/>
        <w:t> </w:t>
      </w:r>
    </w:p>
    <w:p>
      <w:pPr>
        <w:pStyle w:val="TextBody"/>
        <w:bidi w:val="0"/>
        <w:spacing w:before="8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810" w:type="dxa"/>
        <w:jc w:val="left"/>
        <w:tblInd w:w="0" w:type="dxa"/>
        <w:tblLayout w:type="fixed"/>
        <w:tblCellMar>
          <w:top w:w="28" w:type="dxa"/>
          <w:left w:w="28" w:type="dxa"/>
          <w:bottom w:w="28" w:type="dxa"/>
          <w:right w:w="28" w:type="dxa"/>
        </w:tblCellMar>
      </w:tblPr>
      <w:tblGrid>
        <w:gridCol w:w="3376"/>
        <w:gridCol w:w="146"/>
        <w:gridCol w:w="826"/>
        <w:gridCol w:w="146"/>
        <w:gridCol w:w="3316"/>
      </w:tblGrid>
      <w:tr>
        <w:trPr/>
        <w:tc>
          <w:tcPr>
            <w:tcW w:w="3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37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3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par value $0.00001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INKT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Nasdaq</w:t>
            </w:r>
            <w:r>
              <w:rPr>
                <w:rFonts w:ascii="Times New Roman" w:hAnsi="Times New Roman"/>
                <w:color w:val="000000"/>
                <w:sz w:val="20"/>
              </w:rPr>
              <w:t> </w:t>
            </w:r>
            <w:r>
              <w:rPr>
                <w:rFonts w:ascii="Times New Roman" w:hAnsi="Times New Roman"/>
                <w:color w:val="000000"/>
                <w:sz w:val="18"/>
              </w:rPr>
              <w:t>Capital Market</w:t>
            </w:r>
          </w:p>
        </w:tc>
      </w:tr>
    </w:tbl>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942" w:type="dxa"/>
        <w:jc w:val="left"/>
        <w:tblInd w:w="0" w:type="dxa"/>
        <w:tblLayout w:type="fixed"/>
        <w:tblCellMar>
          <w:top w:w="28" w:type="dxa"/>
          <w:left w:w="28" w:type="dxa"/>
          <w:bottom w:w="28" w:type="dxa"/>
          <w:right w:w="28" w:type="dxa"/>
        </w:tblCellMar>
      </w:tblPr>
      <w:tblGrid>
        <w:gridCol w:w="1666"/>
        <w:gridCol w:w="146"/>
        <w:gridCol w:w="376"/>
        <w:gridCol w:w="146"/>
        <w:gridCol w:w="2041"/>
        <w:gridCol w:w="146"/>
        <w:gridCol w:w="42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As of May 13, 2026, the registrant had 4,981,899</w:t>
      </w:r>
      <w:r>
        <w:rPr>
          <w:rFonts w:ascii="Times New Roman" w:hAnsi="Times New Roman"/>
          <w:color w:val="000000"/>
          <w:sz w:val="20"/>
        </w:rPr>
        <w:t xml:space="preserve"> </w:t>
      </w:r>
      <w:r>
        <w:rPr>
          <w:rFonts w:ascii="Times New Roman" w:hAnsi="Times New Roman"/>
          <w:color w:val="000000"/>
          <w:sz w:val="18"/>
        </w:rPr>
        <w:t>shares of common stock, $0.00001 par value per share, outstanding.</w:t>
      </w:r>
    </w:p>
    <w:p>
      <w:pPr>
        <w:pStyle w:val="TextBody"/>
        <w:pBdr>
          <w:bottom w:val="double" w:sz="4" w:space="1" w:color="000000"/>
        </w:pBdr>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38"/>
        <w:gridCol w:w="8855"/>
        <w:gridCol w:w="512"/>
      </w:tblGrid>
      <w:tr>
        <w:trPr/>
        <w:tc>
          <w:tcPr>
            <w:tcW w:w="838" w:type="dxa"/>
            <w:tcBorders/>
            <w:vAlign w:val="center"/>
          </w:tcPr>
          <w:p>
            <w:pPr>
              <w:pStyle w:val="TableContents"/>
              <w:bidi w:val="0"/>
              <w:spacing w:before="0" w:after="283"/>
              <w:jc w:val="left"/>
              <w:rPr>
                <w:sz w:val="4"/>
                <w:szCs w:val="4"/>
              </w:rPr>
            </w:pPr>
            <w:r>
              <w:rPr>
                <w:sz w:val="4"/>
                <w:szCs w:val="4"/>
              </w:rPr>
            </w:r>
          </w:p>
        </w:tc>
        <w:tc>
          <w:tcPr>
            <w:tcW w:w="8855"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3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885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financial_information">
              <w:r>
                <w:rPr>
                  <w:rStyle w:val="InternetLink"/>
                  <w:rFonts w:ascii="Times New Roman" w:hAnsi="Times New Roman"/>
                  <w:color w:val="0000FF"/>
                  <w:sz w:val="20"/>
                  <w:u w:val="single"/>
                </w:rPr>
                <w:t>FINANCIAL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85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Financial Statements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3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5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Times New Roman" w:hAnsi="Times New Roman"/>
                  <w:color w:val="0000FF"/>
                  <w:sz w:val="20"/>
                  <w:u w:val="single"/>
                </w:rPr>
                <w:t>Condensed Consolidated Balance Sheets as of March 31, 2026 and December 31, 202</w:t>
              </w:r>
            </w:hyperlink>
            <w:r>
              <w:rPr>
                <w:rFonts w:ascii="Times New Roman" w:hAnsi="Times New Roman"/>
                <w:color w:val="000000"/>
                <w:sz w:val="20"/>
              </w:rPr>
              <w:t>5</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3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5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operat">
              <w:r>
                <w:rPr>
                  <w:rStyle w:val="InternetLink"/>
                  <w:rFonts w:ascii="Times New Roman" w:hAnsi="Times New Roman"/>
                  <w:color w:val="0000FF"/>
                  <w:sz w:val="20"/>
                  <w:u w:val="single"/>
                </w:rPr>
                <w:t>Condensed Consolidated Statements of Operations and Comprehensive Loss for the three months ended March 31, 2026 and 2025</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3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5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stockh">
              <w:r>
                <w:rPr>
                  <w:rStyle w:val="InternetLink"/>
                  <w:rFonts w:ascii="Times New Roman" w:hAnsi="Times New Roman"/>
                  <w:color w:val="0000FF"/>
                  <w:sz w:val="20"/>
                  <w:u w:val="single"/>
                </w:rPr>
                <w:t>Condensed Consolidated Statements of Stockholders’ Deficit for the three months ended March 31, 2026 and 2025</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83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5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cash_f">
              <w:r>
                <w:rPr>
                  <w:rStyle w:val="InternetLink"/>
                  <w:rFonts w:ascii="Times New Roman" w:hAnsi="Times New Roman"/>
                  <w:color w:val="0000FF"/>
                  <w:sz w:val="20"/>
                  <w:u w:val="single"/>
                </w:rPr>
                <w:t>Condensed Consolidated Statements of Cash Flows for the three months ended March 31, 2026 and 2025</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w:t>
            </w:r>
          </w:p>
        </w:tc>
      </w:tr>
      <w:tr>
        <w:trPr/>
        <w:tc>
          <w:tcPr>
            <w:tcW w:w="83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5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unaudited_interim_condensed_con">
              <w:r>
                <w:rPr>
                  <w:rStyle w:val="InternetLink"/>
                  <w:rFonts w:ascii="Times New Roman" w:hAnsi="Times New Roman"/>
                  <w:color w:val="0000FF"/>
                  <w:sz w:val="20"/>
                  <w:u w:val="single"/>
                </w:rPr>
                <w:t>Notes to Unaudited Interim Condensed Consolidated Financial Statements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8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85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r>
      <w:tr>
        <w:trPr/>
        <w:tc>
          <w:tcPr>
            <w:tcW w:w="8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85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r>
      <w:tr>
        <w:trPr/>
        <w:tc>
          <w:tcPr>
            <w:tcW w:w="8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85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r>
      <w:tr>
        <w:trPr/>
        <w:tc>
          <w:tcPr>
            <w:tcW w:w="8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85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color w:val="0000FF"/>
                  <w:sz w:val="20"/>
                  <w:u w:val="single"/>
                </w:rPr>
                <w:t>OTHER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r>
      <w:tr>
        <w:trPr/>
        <w:tc>
          <w:tcPr>
            <w:tcW w:w="8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85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r>
      <w:tr>
        <w:trPr/>
        <w:tc>
          <w:tcPr>
            <w:tcW w:w="8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85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r>
      <w:tr>
        <w:trPr/>
        <w:tc>
          <w:tcPr>
            <w:tcW w:w="8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885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
              <w:r>
                <w:rPr>
                  <w:rStyle w:val="InternetLink"/>
                  <w:rFonts w:ascii="Times New Roman" w:hAnsi="Times New Roman"/>
                  <w:color w:val="0000FF"/>
                  <w:sz w:val="20"/>
                  <w:u w:val="single"/>
                </w:rPr>
                <w:t>Other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r>
      <w:tr>
        <w:trPr/>
        <w:tc>
          <w:tcPr>
            <w:tcW w:w="8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85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r>
      <w:tr>
        <w:trPr/>
        <w:tc>
          <w:tcPr>
            <w:tcW w:w="8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financial_information"/>
      <w:bookmarkEnd w:id="2"/>
      <w:r>
        <w:rPr>
          <w:rFonts w:ascii="Times New Roman" w:hAnsi="Times New Roman"/>
          <w:b/>
          <w:color w:val="000000"/>
          <w:sz w:val="20"/>
        </w:rPr>
        <w:t>PART I—FINANCIAL INFORMATION</w:t>
      </w:r>
    </w:p>
    <w:p>
      <w:pPr>
        <w:pStyle w:val="TextBody"/>
        <w:bidi w:val="0"/>
        <w:spacing w:before="360" w:after="283"/>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w:t>
      </w:r>
    </w:p>
    <w:p>
      <w:pPr>
        <w:pStyle w:val="TextBody"/>
        <w:bidi w:val="0"/>
        <w:jc w:val="center"/>
        <w:rPr>
          <w:rFonts w:ascii="Times New Roman" w:hAnsi="Times New Roman"/>
          <w:sz w:val="20"/>
        </w:rPr>
      </w:pPr>
      <w:r>
        <w:rPr>
          <w:rFonts w:ascii="Times New Roman" w:hAnsi="Times New Roman"/>
          <w:b/>
          <w:color w:val="000000"/>
          <w:sz w:val="20"/>
        </w:rPr>
        <w:t>MINK THERAPEUTICS, INC. AND SUBSIDIARIES</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4" w:name="condensed_consolidated_balance_sheets"/>
      <w:bookmarkEnd w:id="4"/>
      <w:r>
        <w:rPr>
          <w:rFonts w:ascii="Times New Roman" w:hAnsi="Times New Roman"/>
          <w:b/>
          <w:color w:val="000000"/>
          <w:sz w:val="20"/>
        </w:rPr>
        <w:t>CONDENSED CONSOLIDATED BALANCE SHEETS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732"/>
        <w:gridCol w:w="146"/>
        <w:gridCol w:w="211"/>
        <w:gridCol w:w="1201"/>
        <w:gridCol w:w="166"/>
        <w:gridCol w:w="146"/>
        <w:gridCol w:w="211"/>
        <w:gridCol w:w="1201"/>
        <w:gridCol w:w="1191"/>
      </w:tblGrid>
      <w:tr>
        <w:trPr/>
        <w:tc>
          <w:tcPr>
            <w:tcW w:w="57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r>
      <w:tr>
        <w:trPr/>
        <w:tc>
          <w:tcPr>
            <w:tcW w:w="57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3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9,525,676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13,360,340</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264,521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276,431</w:t>
            </w:r>
          </w:p>
        </w:tc>
        <w:tc>
          <w:tcPr>
            <w:tcW w:w="1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232,257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211,202</w:t>
            </w:r>
          </w:p>
        </w:tc>
        <w:tc>
          <w:tcPr>
            <w:tcW w:w="11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0"/>
              <w:jc w:val="left"/>
              <w:rPr/>
            </w:pPr>
            <w:r>
              <w:rPr/>
              <w:t> </w:t>
            </w:r>
          </w:p>
        </w:tc>
      </w:tr>
      <w:tr>
        <w:trPr/>
        <w:tc>
          <w:tcPr>
            <w:tcW w:w="5732" w:type="dxa"/>
            <w:tcBorders/>
            <w:shd w:fill="CFF0FC" w:val="clear"/>
            <w:tcMar>
              <w:top w:w="0" w:type="dxa"/>
              <w:left w:w="0" w:type="dxa"/>
              <w:bottom w:w="0" w:type="dxa"/>
              <w:right w:w="0" w:type="dxa"/>
            </w:tcMar>
            <w:vAlign w:val="center"/>
          </w:tcPr>
          <w:p>
            <w:pPr>
              <w:pStyle w:val="TableContents"/>
              <w:bidi w:val="0"/>
              <w:spacing w:before="0" w:after="283"/>
              <w:ind w:left="0" w:right="0" w:firstLine="10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10,022,454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13,847,973</w:t>
            </w:r>
          </w:p>
        </w:tc>
        <w:tc>
          <w:tcPr>
            <w:tcW w:w="1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Equipment, net of accumulated depreciation of $647,801 and $612,245 at</w:t>
              <w:br/>
              <w:t> March 31,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354,518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390,869</w:t>
            </w:r>
          </w:p>
        </w:tc>
        <w:tc>
          <w:tcPr>
            <w:tcW w:w="1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10,376,972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14,238,842</w:t>
            </w:r>
          </w:p>
        </w:tc>
        <w:tc>
          <w:tcPr>
            <w:tcW w:w="1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3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LIABILITIES AND STOCKHOLDERS’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3,391,418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3,425,314</w:t>
            </w:r>
          </w:p>
        </w:tc>
        <w:tc>
          <w:tcPr>
            <w:tcW w:w="1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1,326,265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1,579,147</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Related party note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5,179,444</w:t>
            </w:r>
          </w:p>
        </w:tc>
        <w:tc>
          <w:tcPr>
            <w:tcW w:w="1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2,569,742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2,847,543</w:t>
            </w:r>
          </w:p>
        </w:tc>
        <w:tc>
          <w:tcPr>
            <w:tcW w:w="11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0"/>
              <w:jc w:val="left"/>
              <w:rPr/>
            </w:pPr>
            <w:r>
              <w:rPr/>
              <w:t> </w:t>
            </w:r>
          </w:p>
        </w:tc>
      </w:tr>
      <w:tr>
        <w:trPr/>
        <w:tc>
          <w:tcPr>
            <w:tcW w:w="5732" w:type="dxa"/>
            <w:tcBorders/>
            <w:shd w:fill="CFF0FC" w:val="clear"/>
            <w:tcMar>
              <w:top w:w="0" w:type="dxa"/>
              <w:left w:w="0" w:type="dxa"/>
              <w:bottom w:w="0" w:type="dxa"/>
              <w:right w:w="0" w:type="dxa"/>
            </w:tcMar>
            <w:vAlign w:val="center"/>
          </w:tcPr>
          <w:p>
            <w:pPr>
              <w:pStyle w:val="TableContents"/>
              <w:bidi w:val="0"/>
              <w:spacing w:before="0" w:after="283"/>
              <w:ind w:left="0" w:right="0" w:firstLine="10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7,287,425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13,031,448</w:t>
            </w:r>
          </w:p>
        </w:tc>
        <w:tc>
          <w:tcPr>
            <w:tcW w:w="1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to related parties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15,775,536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15,435,053</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Common stock, par value $0.00001 per share; 150,000,000 shares </w:t>
              <w:br/>
              <w:t xml:space="preserve">  authorized; 4,968,794 and 4,706,246 shares issued at </w:t>
              <w:br/>
              <w:t>  March 31,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1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7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147,429,749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143,167,204</w:t>
            </w:r>
          </w:p>
        </w:tc>
        <w:tc>
          <w:tcPr>
            <w:tcW w:w="11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7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(697,426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(718,916</w:t>
            </w:r>
          </w:p>
        </w:tc>
        <w:tc>
          <w:tcPr>
            <w:tcW w:w="11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7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(159,418,363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(156,675,995</w:t>
            </w:r>
          </w:p>
        </w:tc>
        <w:tc>
          <w:tcPr>
            <w:tcW w:w="11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573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stockholders’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(12,685,989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(14,227,659</w:t>
            </w:r>
          </w:p>
        </w:tc>
        <w:tc>
          <w:tcPr>
            <w:tcW w:w="1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10,376,972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14,238,842</w:t>
            </w:r>
          </w:p>
        </w:tc>
        <w:tc>
          <w:tcPr>
            <w:tcW w:w="1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See accompanying notes to unaudited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MINK THERAPEUTICS, INC. AND SUBSIDIARIES</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5" w:name="condensed_consolidated_statements_operat"/>
      <w:bookmarkEnd w:id="5"/>
      <w:r>
        <w:rPr>
          <w:rFonts w:ascii="Times New Roman" w:hAnsi="Times New Roman"/>
          <w:b/>
          <w:color w:val="000000"/>
          <w:sz w:val="20"/>
        </w:rPr>
        <w:t>CONDENSED CONSOLIDATED STATEMENTS OF</w:t>
      </w:r>
      <w:r>
        <w:rPr>
          <w:rFonts w:ascii="Times New Roman" w:hAnsi="Times New Roman"/>
          <w:color w:val="000000"/>
          <w:sz w:val="20"/>
        </w:rPr>
        <w:t xml:space="preserve"> </w:t>
      </w:r>
      <w:r>
        <w:rPr>
          <w:rFonts w:ascii="Times New Roman" w:hAnsi="Times New Roman"/>
          <w:b/>
          <w:color w:val="000000"/>
          <w:sz w:val="20"/>
        </w:rPr>
        <w:t>OPERATIONS AND COMPREHENSIVE LOSS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7844" w:type="dxa"/>
        <w:jc w:val="left"/>
        <w:tblInd w:w="0" w:type="dxa"/>
        <w:tblLayout w:type="fixed"/>
        <w:tblCellMar>
          <w:top w:w="28" w:type="dxa"/>
          <w:left w:w="28" w:type="dxa"/>
          <w:bottom w:w="28" w:type="dxa"/>
          <w:right w:w="28" w:type="dxa"/>
        </w:tblCellMar>
      </w:tblPr>
      <w:tblGrid>
        <w:gridCol w:w="4771"/>
        <w:gridCol w:w="146"/>
        <w:gridCol w:w="211"/>
        <w:gridCol w:w="991"/>
        <w:gridCol w:w="166"/>
        <w:gridCol w:w="146"/>
        <w:gridCol w:w="211"/>
        <w:gridCol w:w="991"/>
        <w:gridCol w:w="211"/>
      </w:tblGrid>
      <w:tr>
        <w:trPr/>
        <w:tc>
          <w:tcPr>
            <w:tcW w:w="4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1,204,090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1,261,902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1,677,697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1,270,863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related party note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167,922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(2,881,787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(2,700,687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(79,527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(2,742,368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(2,766,697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 common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 net loss per common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4,797,833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3,964,982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 gain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(30,865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(2,720,878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(2,797,562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See accompanying notes to unaudited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MINK THERAPEUTICS, INC. AND SUBSIDIARIES</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6" w:name="condensed_consolidated_statements_stockh"/>
      <w:bookmarkEnd w:id="6"/>
      <w:r>
        <w:rPr>
          <w:rFonts w:ascii="Times New Roman" w:hAnsi="Times New Roman"/>
          <w:b/>
          <w:color w:val="000000"/>
          <w:sz w:val="20"/>
        </w:rPr>
        <w:t>CONDENSED CONSOLIDATED STATEMENTS OF STOCKHOLDERS’ DEFICIT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11543" w:type="dxa"/>
        <w:jc w:val="left"/>
        <w:tblInd w:w="0" w:type="dxa"/>
        <w:tblLayout w:type="fixed"/>
        <w:tblCellMar>
          <w:top w:w="28" w:type="dxa"/>
          <w:left w:w="28" w:type="dxa"/>
          <w:bottom w:w="28" w:type="dxa"/>
          <w:right w:w="28" w:type="dxa"/>
        </w:tblCellMar>
      </w:tblPr>
      <w:tblGrid>
        <w:gridCol w:w="1171"/>
        <w:gridCol w:w="146"/>
        <w:gridCol w:w="146"/>
        <w:gridCol w:w="826"/>
        <w:gridCol w:w="166"/>
        <w:gridCol w:w="146"/>
        <w:gridCol w:w="196"/>
        <w:gridCol w:w="346"/>
        <w:gridCol w:w="146"/>
        <w:gridCol w:w="146"/>
        <w:gridCol w:w="196"/>
        <w:gridCol w:w="1006"/>
        <w:gridCol w:w="166"/>
        <w:gridCol w:w="146"/>
        <w:gridCol w:w="146"/>
        <w:gridCol w:w="661"/>
        <w:gridCol w:w="166"/>
        <w:gridCol w:w="146"/>
        <w:gridCol w:w="196"/>
        <w:gridCol w:w="751"/>
        <w:gridCol w:w="166"/>
        <w:gridCol w:w="146"/>
        <w:gridCol w:w="196"/>
        <w:gridCol w:w="751"/>
        <w:gridCol w:w="166"/>
        <w:gridCol w:w="146"/>
        <w:gridCol w:w="196"/>
        <w:gridCol w:w="1066"/>
        <w:gridCol w:w="166"/>
        <w:gridCol w:w="146"/>
        <w:gridCol w:w="196"/>
        <w:gridCol w:w="976"/>
        <w:gridCol w:w="211"/>
      </w:tblGrid>
      <w:tr>
        <w:trPr/>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Treasury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Par</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Additional</w:t>
              <w:br/>
              <w:t>Paid-In</w:t>
              <w:b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Other</w:t>
              <w:br/>
              <w:t>Comprehensive</w:t>
              <w:b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4,706,246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143,167,204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(718,916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(156,675,995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(14,227,659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(2,742,368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(2,742,368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21,490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Grant and recognition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630,382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630,382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sold at the market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193,060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3,019,526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3,019,528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stock options and employee share purchases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131,409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131,409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Vesting of nonvested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shares for certain employee bonuses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65,917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732,996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(251,768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481,229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Retirement of treasury shares related to employee withholding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(251,768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251,768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2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4,968,794</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147,429,749</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6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(697,426</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(159,418,363</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7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(12,685,989</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MINK THERAPEUTICS, INC. AND SUBSIDIARIES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CONDENSED CONSOLIDATED STATEMENTS OF STOCKHOLDERS’ DEFICIT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10812" w:type="dxa"/>
        <w:jc w:val="left"/>
        <w:tblInd w:w="0" w:type="dxa"/>
        <w:tblLayout w:type="fixed"/>
        <w:tblCellMar>
          <w:top w:w="28" w:type="dxa"/>
          <w:left w:w="28" w:type="dxa"/>
          <w:bottom w:w="28" w:type="dxa"/>
          <w:right w:w="28" w:type="dxa"/>
        </w:tblCellMar>
      </w:tblPr>
      <w:tblGrid>
        <w:gridCol w:w="1171"/>
        <w:gridCol w:w="146"/>
        <w:gridCol w:w="146"/>
        <w:gridCol w:w="826"/>
        <w:gridCol w:w="166"/>
        <w:gridCol w:w="146"/>
        <w:gridCol w:w="196"/>
        <w:gridCol w:w="346"/>
        <w:gridCol w:w="146"/>
        <w:gridCol w:w="146"/>
        <w:gridCol w:w="196"/>
        <w:gridCol w:w="1006"/>
        <w:gridCol w:w="146"/>
        <w:gridCol w:w="146"/>
        <w:gridCol w:w="160"/>
        <w:gridCol w:w="381"/>
        <w:gridCol w:w="146"/>
        <w:gridCol w:w="146"/>
        <w:gridCol w:w="196"/>
        <w:gridCol w:w="346"/>
        <w:gridCol w:w="146"/>
        <w:gridCol w:w="146"/>
        <w:gridCol w:w="196"/>
        <w:gridCol w:w="751"/>
        <w:gridCol w:w="166"/>
        <w:gridCol w:w="146"/>
        <w:gridCol w:w="196"/>
        <w:gridCol w:w="1066"/>
        <w:gridCol w:w="166"/>
        <w:gridCol w:w="146"/>
        <w:gridCol w:w="196"/>
        <w:gridCol w:w="976"/>
        <w:gridCol w:w="211"/>
      </w:tblGrid>
      <w:tr>
        <w:trPr/>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7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Treasury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Par</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Additional</w:t>
              <w:br/>
              <w:t>Paid-In</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Number of</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Par</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Other</w:t>
              <w:br/>
              <w:t>Comprehensive</w:t>
              <w:b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3,963,045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125,227,389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(631,576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(144,181,735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(19,585,882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(2,766,697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(2,766,697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(30,865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(30,865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shares for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 retirement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Employee share purchases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Grant and recognition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563,207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563,207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Recognition of parent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5,882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3,965,597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125,819,054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(662,441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(146,948,432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(21,791,779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MINK THERAPEUTICS, INC. AND SUBSIDIARIES</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7" w:name="condensed_consolidated_statements_cash_f"/>
      <w:bookmarkEnd w:id="7"/>
      <w:r>
        <w:rPr>
          <w:rFonts w:ascii="Times New Roman" w:hAnsi="Times New Roman"/>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687"/>
        <w:gridCol w:w="146"/>
        <w:gridCol w:w="211"/>
        <w:gridCol w:w="1036"/>
        <w:gridCol w:w="166"/>
        <w:gridCol w:w="146"/>
        <w:gridCol w:w="211"/>
        <w:gridCol w:w="991"/>
        <w:gridCol w:w="611"/>
      </w:tblGrid>
      <w:tr>
        <w:trPr/>
        <w:tc>
          <w:tcPr>
            <w:tcW w:w="66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6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(2,742,368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(2,766,697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68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50,765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8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630,386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591,089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8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 in fair value of related party note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167,922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8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Interest accrued on related party note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68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8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(68,606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68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liabilities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206,262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101,171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8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157,561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548,083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6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(1,732,597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(1,340,876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proceeds from sale of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3,019,528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Repayment of related party note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 for shares to satisfy tax withholdings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(251,768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employee stock purchases and option exercises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131,410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6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provided by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(2,100,830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changes on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(3,834,664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(1,342,141</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13,360,340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4,577,040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9,525,676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3,234,899</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paid for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disclosures - non-cash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Issuance of common stock, $0.00001 par value, for payment of certain employee bonuses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481,229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See accompanying notes to unaudited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MINK THERAPEUTICS, INC. AND SUBSIDIARIES</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8" w:name="notes_to_unaudited_interim_condensed_con"/>
      <w:bookmarkEnd w:id="8"/>
      <w:r>
        <w:rPr>
          <w:rFonts w:ascii="Times New Roman" w:hAnsi="Times New Roman"/>
          <w:b/>
          <w:color w:val="000000"/>
          <w:sz w:val="20"/>
        </w:rPr>
        <w:t>NOTES TO UNAUDITED INTERIM CONDENSED</w:t>
      </w:r>
      <w:r>
        <w:rPr>
          <w:rFonts w:ascii="Times New Roman" w:hAnsi="Times New Roman"/>
          <w:color w:val="000000"/>
          <w:sz w:val="20"/>
        </w:rPr>
        <w:t xml:space="preserve"> </w:t>
      </w:r>
      <w:r>
        <w:rPr>
          <w:rFonts w:ascii="Times New Roman" w:hAnsi="Times New Roman"/>
          <w:b/>
          <w:color w:val="000000"/>
          <w:sz w:val="20"/>
        </w:rPr>
        <w:t>CONSOLIDATED FINANCIAL STATEMENTS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 Business and 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MiNK Therapeutics, Inc. (“MiNK” or the “Company”) is a clinical-stage biopharmaceutical company pioneering the discovery, development and manufacturing of allogeneic, off-the-shelf, invariant natural killer T (“iNKT”) cell therapies to treat cancer and other immune-mediated diseases. iNKT cells are a distinct T cell population that combine durable memory responses with the rapid cytolytic features of natural killer cells. iNKT cells offer distinct therapeutic advantages as a platform for allogeneic therapy in that the cells naturally home to tissues, aid clearance of tumors and infected cells, and suppress graft-versus-host-disease. MiNK’s proprietary platform is designed to facilitate scalable and reproducible manufacturing for off-the-shelf delivery. As such, the Company believes that its approach represents a highly versatile application for therapeutic development in cancer and immune diseases. MiNK is leveraging its platform and manufacturing capabilities to develop a wholly owned or exclusively licensed pipeline of both native and engineered iNKT cells.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Since its inception in 2017, MiNK has incurred losses and expects to continue incurring operating losses and negative cash flows in the future until it is able to generate sales and profits. As of March 31, 2026, MiNK had an accumulated deficit of $159.4 million and cash and cash equivalents of $9.5 million. Subsequent to the quarter end, MiNK received $150,000 from the sales of common stock in at the market offerings. MiNK believes that its cash and cash equivalents balance, plus the subsequent cash received and additional anticipated funding, will be sufficient to satisfy its liquidity requirements for more than one year from when these financial statements were issued. Because the completion of anticipated funding is not entirely within the Company’s control, the Company is required to disclose that substantial doubt exists about its ability to continue as a going concern for a period of one year after the date of filing of this Quarterly Report on Form 10-Q. The financial statements have been prepared on a basis that assumes MiNK will continue as a going concern and which contemplates the realization of assets and satisfaction of liabilities and commitments in the ordinary course of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Management continually monitors MiNK's liquidity position and adjusts spending as needed in order to preserve liquidity. To support its liquidity requirements the Company will require additional funding. Potential sources of additional funding for the Company include: (1) seeking strategic partnerships and collaborations, as well as out-licensing opportunities, for the Company's portfolio programs and product candidates, (2) exploring avenues for securing non-dilutive financing, such as grants, collaborations, and providing fee-based services to strengthen the Company's balance sheet, and (3) potential of equity or debt financing options.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MiNK’s product candidates are in various stages of development and additional expenditures will be required if the Company starts new trials, encounters delays in its programs, applies for regulatory approvals, continues development of its technologies, expands its operations, and/or brings its product candidates to market. The eventual total cost of each clinical trial is dependent on a number of factors such as trial design, length of the trial, number of clinical sites, and number of patients. The process of obtaining and maintaining regulatory approvals for new therapeutic products is lengthy, expensive, and uncertain. Because all of the Company’s programs are at an early stage of clinical development, the Company is unable to reliably estimate the cost of completing its research and development programs or the timing for bringing such programs to various markets or substantial partnering or out-licensing arrangements, and, therefore, when, if ever, material cash inflows are likely to commence. </w:t>
      </w:r>
    </w:p>
    <w:p>
      <w:pPr>
        <w:pStyle w:val="TextBody"/>
        <w:bidi w:val="0"/>
        <w:spacing w:before="240" w:after="283"/>
        <w:jc w:val="left"/>
        <w:rPr>
          <w:rFonts w:ascii="Times New Roman" w:hAnsi="Times New Roman"/>
          <w:sz w:val="20"/>
        </w:rPr>
      </w:pPr>
      <w:r>
        <w:rPr>
          <w:rFonts w:ascii="Times New Roman" w:hAnsi="Times New Roman"/>
          <w:b/>
          <w:color w:val="000000"/>
          <w:sz w:val="20"/>
        </w:rPr>
        <w:t>(2) Significant Accounting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significant accounting policies are disclosed in the consolidated financial statements and footnotes thereto included in the Company’s Annual Report on Form 10-K for the year ended December 31, 2025, filed with the Securities and Exchange Commission (“SEC”) on March 31, 2026. Since the date of those financial statements there have been no changes to the Company’s significant accounting policies.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Financial Statement Preparation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accompanying unaudited interim condensed consolidated financial statements have been prepared in accordance with U.S. generally accepted accounting principles (“U.S. GAAP”) for interim financial information and with the instructions to Article 8 of Regulation S-X. Accordingly, they do not include all of the information and footnotes required by U.S. GAAP for complete annual consolidated financial statements. In the opinion of the Company’s management, the condensed consolidated financial statements include all normal and recurring adjustments considered necessary for a fair presentation of the Company’s financial position and operating results. All significant intercompany transactions and accounts have been eliminated in consolidation. Operating results for the three months ended March 31, 2026, are not necessarily indicative of the results that may be expected for the year ending December 31, 2026.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consolidated financial statements in conformity with U.S. GAAP requires management to make estimates and assumptions that affect the reported amounts of assets and liabilities and disclosures of contingent assets and liabilities at the date of the financial statements and the reported amount of expenses during the reporting period. Management bases its estimates on historical experience and on various assumptions that it believes to be reasonable under the circumstances. Actual results could differ materially from those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Company’s foreign subsidiaries, the local currency is the functional currency. Assets and liabilities of its foreign subsidiaries are translated into U.S. dollars using rates in effect at the balance sheet date while expenses are translated into U.S. dollars using average exchange rates during the period. The cumulative translation adjustment resulting from changes in exchange rates are included in the condensed consolidated balance sheets as a component of accumulated other comprehensive income (loss) in total stockholders’ deficit.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17, 2025, MiNK executed a reverse stock split of its issued and outstanding common stock, par value $0.00001, at a ratio of 1-for-10 with a record date of January 28, 2025 (the “Reverse Stock Split”). All common share, per share and related information included in the accompanying financial statements and footnote disclosures have been adjusted retroactively, where applicable, to reflect the Reverse Stock Split.</w:t>
      </w:r>
    </w:p>
    <w:p>
      <w:pPr>
        <w:pStyle w:val="TextBody"/>
        <w:bidi w:val="0"/>
        <w:spacing w:before="360" w:after="283"/>
        <w:jc w:val="left"/>
        <w:rPr>
          <w:rFonts w:ascii="Times New Roman" w:hAnsi="Times New Roman"/>
          <w:sz w:val="20"/>
        </w:rPr>
      </w:pPr>
      <w:r>
        <w:rPr>
          <w:rFonts w:ascii="Times New Roman" w:hAnsi="Times New Roman"/>
          <w:b/>
          <w:color w:val="000000"/>
          <w:sz w:val="20"/>
        </w:rPr>
        <w:t>(3) Net Loss Per Share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Basic loss per common share is calculated by dividing the net loss by the weighted average number of common shares outstanding. Diluted loss per common share is calculated by dividing net loss by the weighted average number of common shares outstanding plus the dilutive effect of outstanding instruments such as stock options. Because the Company reported a net loss for all periods presented, diluted loss per common share is the same as basic loss per common share, as the effect of utilizing the fully diluted share count would have reduced the net loss per common share. Therefore, the following potentially dilutive securities have been excluded from the computation of diluted weighted average shares outstanding as of March 31, 2026 and 2025, as they would be anti-dilutive: </w:t>
      </w:r>
    </w:p>
    <w:p>
      <w:pPr>
        <w:pStyle w:val="TextBody"/>
        <w:bidi w:val="0"/>
        <w:jc w:val="left"/>
        <w:rPr/>
      </w:pPr>
      <w:r>
        <w:rPr/>
        <w:t> </w:t>
      </w:r>
    </w:p>
    <w:tbl>
      <w:tblPr>
        <w:tblW w:w="4874" w:type="dxa"/>
        <w:jc w:val="left"/>
        <w:tblInd w:w="0" w:type="dxa"/>
        <w:tblLayout w:type="fixed"/>
        <w:tblCellMar>
          <w:top w:w="28" w:type="dxa"/>
          <w:left w:w="28" w:type="dxa"/>
          <w:bottom w:w="28" w:type="dxa"/>
          <w:right w:w="28" w:type="dxa"/>
        </w:tblCellMar>
      </w:tblPr>
      <w:tblGrid>
        <w:gridCol w:w="1991"/>
        <w:gridCol w:w="146"/>
        <w:gridCol w:w="146"/>
        <w:gridCol w:w="781"/>
        <w:gridCol w:w="146"/>
        <w:gridCol w:w="146"/>
        <w:gridCol w:w="146"/>
        <w:gridCol w:w="781"/>
        <w:gridCol w:w="591"/>
      </w:tblGrid>
      <w:tr>
        <w:trPr/>
        <w:tc>
          <w:tcPr>
            <w:tcW w:w="1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center"/>
              <w:rPr/>
            </w:pPr>
            <w:r>
              <w:rPr/>
              <w:t> </w:t>
            </w:r>
          </w:p>
        </w:tc>
      </w:tr>
      <w:tr>
        <w:trPr/>
        <w:tc>
          <w:tcPr>
            <w:tcW w:w="1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895,003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884,371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Non-vested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89,676</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(4) Cash and Cash Equivalents</w:t>
      </w:r>
      <w:r>
        <w:rPr>
          <w:rFonts w:ascii="Times New Roman" w:hAnsi="Times New Roman"/>
          <w:color w:val="000000"/>
          <w:sz w:val="20"/>
        </w:rPr>
        <w:t xml:space="preserve">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Cash equivalents consisted of the following as of March 31, 2026 and December 31, 2025 (in thousands):</w:t>
      </w:r>
    </w:p>
    <w:tbl>
      <w:tblPr>
        <w:tblW w:w="9003" w:type="dxa"/>
        <w:jc w:val="left"/>
        <w:tblInd w:w="0" w:type="dxa"/>
        <w:tblLayout w:type="fixed"/>
        <w:tblCellMar>
          <w:top w:w="28" w:type="dxa"/>
          <w:left w:w="28" w:type="dxa"/>
          <w:bottom w:w="28" w:type="dxa"/>
          <w:right w:w="28" w:type="dxa"/>
        </w:tblCellMar>
      </w:tblPr>
      <w:tblGrid>
        <w:gridCol w:w="2821"/>
        <w:gridCol w:w="146"/>
        <w:gridCol w:w="211"/>
        <w:gridCol w:w="571"/>
        <w:gridCol w:w="146"/>
        <w:gridCol w:w="146"/>
        <w:gridCol w:w="443"/>
        <w:gridCol w:w="1207"/>
        <w:gridCol w:w="146"/>
        <w:gridCol w:w="146"/>
        <w:gridCol w:w="211"/>
        <w:gridCol w:w="676"/>
        <w:gridCol w:w="146"/>
        <w:gridCol w:w="146"/>
        <w:gridCol w:w="392"/>
        <w:gridCol w:w="1258"/>
        <w:gridCol w:w="191"/>
      </w:tblGrid>
      <w:tr>
        <w:trPr/>
        <w:tc>
          <w:tcPr>
            <w:tcW w:w="2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Institutional 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(5) Accrued and Other Current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Accrued liabilities consisted of the following as of March 31, 2026 and December 31, 2025 (in thousands): </w:t>
      </w:r>
    </w:p>
    <w:p>
      <w:pPr>
        <w:pStyle w:val="TextBody"/>
        <w:bidi w:val="0"/>
        <w:jc w:val="left"/>
        <w:rPr/>
      </w:pPr>
      <w:r>
        <w:rPr/>
        <w:t> </w:t>
      </w:r>
    </w:p>
    <w:tbl>
      <w:tblPr>
        <w:tblW w:w="4225" w:type="dxa"/>
        <w:jc w:val="left"/>
        <w:tblInd w:w="0" w:type="dxa"/>
        <w:tblLayout w:type="fixed"/>
        <w:tblCellMar>
          <w:top w:w="28" w:type="dxa"/>
          <w:left w:w="28" w:type="dxa"/>
          <w:bottom w:w="28" w:type="dxa"/>
          <w:right w:w="28" w:type="dxa"/>
        </w:tblCellMar>
      </w:tblPr>
      <w:tblGrid>
        <w:gridCol w:w="1546"/>
        <w:gridCol w:w="146"/>
        <w:gridCol w:w="230"/>
        <w:gridCol w:w="625"/>
        <w:gridCol w:w="146"/>
        <w:gridCol w:w="146"/>
        <w:gridCol w:w="294"/>
        <w:gridCol w:w="801"/>
        <w:gridCol w:w="291"/>
      </w:tblGrid>
      <w:tr>
        <w:trPr/>
        <w:tc>
          <w:tcPr>
            <w:tcW w:w="1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Payroll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1,579</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Other current liabilities of $2.4 million as of March 31, 2026 and $2.5 million as of December 31, 2025, represent the advance received under the Company’s research and development agreement with the Belgium Walloon Region Government (“Walloon Region”). In 2022, the Company received notice that the Walloon Region had obtained a default judgment seeking repayment of approximately $2.4 million of the advance based upon the Company allegedly not providing required notification that research and operations in the region were discontinued.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(6) Share-based Compensation Plans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primarily uses the Black-Scholes option pricing model to value options granted to employees and non-employees, as well as options granted to members of the Company’s Board of Directors. All stock option grants have 10-year terms and generally vest ratably over a 3 or 4-year period.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summary of option activity for the three-month period ended March 31, 2026 is presented below: </w:t>
      </w:r>
    </w:p>
    <w:p>
      <w:pPr>
        <w:pStyle w:val="TextBody"/>
        <w:bidi w:val="0"/>
        <w:jc w:val="left"/>
        <w:rPr/>
      </w:pPr>
      <w:r>
        <w:rPr/>
        <w:t> </w:t>
      </w:r>
    </w:p>
    <w:tbl>
      <w:tblPr>
        <w:tblW w:w="9070" w:type="dxa"/>
        <w:jc w:val="left"/>
        <w:tblInd w:w="0" w:type="dxa"/>
        <w:tblLayout w:type="fixed"/>
        <w:tblCellMar>
          <w:top w:w="28" w:type="dxa"/>
          <w:left w:w="28" w:type="dxa"/>
          <w:bottom w:w="28" w:type="dxa"/>
          <w:right w:w="28" w:type="dxa"/>
        </w:tblCellMar>
      </w:tblPr>
      <w:tblGrid>
        <w:gridCol w:w="3781"/>
        <w:gridCol w:w="146"/>
        <w:gridCol w:w="146"/>
        <w:gridCol w:w="781"/>
        <w:gridCol w:w="166"/>
        <w:gridCol w:w="146"/>
        <w:gridCol w:w="214"/>
        <w:gridCol w:w="582"/>
        <w:gridCol w:w="146"/>
        <w:gridCol w:w="146"/>
        <w:gridCol w:w="236"/>
        <w:gridCol w:w="755"/>
        <w:gridCol w:w="146"/>
        <w:gridCol w:w="146"/>
        <w:gridCol w:w="211"/>
        <w:gridCol w:w="931"/>
        <w:gridCol w:w="391"/>
      </w:tblGrid>
      <w:tr>
        <w:trPr/>
        <w:tc>
          <w:tcPr>
            <w:tcW w:w="3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w:t>
              <w:b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876,533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Expired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895,003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3,449,559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or expected to vest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895,003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3,449,559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638,013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3,161,187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weighted average grant-date fair value of options granted during the three months ended March 31, 2026 was $12.97. No options were granted during the three months ended March 31,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June 18, 2025, at the Company's annual meeting of stockholders, the Company’s stockholders approved a one-time exchange of options to purchase shares of the Company’s common stock issued under the 2021 Plan and the 2018 Plan that were held by the Company’s executive officers, other employees, consultants, and non-employee directors, for new options to purchase shares of the Company’s common stock (the “Option Exchange”). Pursuant to the Option Exchange, eligible options were cancelled in exchange for an equal number of new options to purchase shares of common stock with an exercise price equal to the fair market value of the Company’s common stock at the time of the Option Exchange and a term of the option that extends ten years from the date of grant. An eligible stock option generally included any outstanding stock option that had an exercise price equal to or greater than $8.50 per share and greater than the closing price of the Company’s common stock on the date of the Option Exchange, that vested based on continued service with the Company or based on the achievement of performance milestones and that was granted under the Equity Plans. The Option Exchange resulted in the re-pricing of 647,915 options to an exercise price of $7.43. The vesting conditions of the modified options remained the same and the modified awards have a 10-year term. Total expected incremental share-based compensation expense resulting from the modification was approximately $0.6 million, of which $0.4 million related to vested awards and was recognized immediately with $0.2 million being recognized over the remaining vesting period.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March 31, 2026, there was $1.6 million of unrecognized share-based compensation expense related to stock options granted to employees, consultants and directors which, if all milestones are achieved on outstanding performance-based awards, will be recognized over a weighted average period of 2.4 years. For awards with performance conditions, expense is recognized if the underlying performance conditions are deemed probable of achievement.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summary of non-vested stock activity for the three-month period ended March 31, 2026 is presented below: </w:t>
      </w:r>
    </w:p>
    <w:p>
      <w:pPr>
        <w:pStyle w:val="TextBody"/>
        <w:bidi w:val="0"/>
        <w:jc w:val="left"/>
        <w:rPr/>
      </w:pPr>
      <w:r>
        <w:rPr/>
        <w:t> </w:t>
      </w:r>
    </w:p>
    <w:tbl>
      <w:tblPr>
        <w:tblW w:w="5617" w:type="dxa"/>
        <w:jc w:val="left"/>
        <w:tblInd w:w="0" w:type="dxa"/>
        <w:tblLayout w:type="fixed"/>
        <w:tblCellMar>
          <w:top w:w="28" w:type="dxa"/>
          <w:left w:w="28" w:type="dxa"/>
          <w:bottom w:w="28" w:type="dxa"/>
          <w:right w:w="28" w:type="dxa"/>
        </w:tblCellMar>
      </w:tblPr>
      <w:tblGrid>
        <w:gridCol w:w="2941"/>
        <w:gridCol w:w="146"/>
        <w:gridCol w:w="146"/>
        <w:gridCol w:w="736"/>
        <w:gridCol w:w="166"/>
        <w:gridCol w:w="146"/>
        <w:gridCol w:w="254"/>
        <w:gridCol w:w="691"/>
        <w:gridCol w:w="391"/>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Nonvested</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Grant Date</w:t>
              <w:b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As of March 31, 2026, there was $0.6 million of unrecognized share-based compensation expense related to these non-vested shares which will be recognized over a weighted average period of 2.5 years.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During the three months ended March 31, 2026, 19,142 shares were issued as the result of stock option exercises and 7,070 shares were issued as a result of the vesting of non-vested stock. Additionally, 65,917 shares were issued as payment for certain employee bonuses, with 22,641 of those shares being withheld to cover taxes, resulting in a net share issuance of 43,276.</w:t>
      </w:r>
    </w:p>
    <w:p>
      <w:pPr>
        <w:pStyle w:val="TextBody"/>
        <w:bidi w:val="0"/>
        <w:jc w:val="left"/>
        <w:rPr>
          <w:rFonts w:ascii="Times New Roman" w:hAnsi="Times New Roman"/>
          <w:color w:val="000000"/>
          <w:sz w:val="20"/>
        </w:rPr>
      </w:pPr>
      <w:r>
        <w:rPr>
          <w:rFonts w:ascii="Times New Roman" w:hAnsi="Times New Roman"/>
          <w:color w:val="000000"/>
          <w:sz w:val="20"/>
        </w:rPr>
        <w:t xml:space="preserve">For the three months ended March 31, 2025, stock based compensation expense also includes expense related to awards to employees of the Company from the Agenus 2019 Equity Incentive Plan. The impact on the Company’s results of operations from share-based compensation for the three ended March 31, 2026 and 2025, was as follows (in thousands): </w:t>
      </w:r>
    </w:p>
    <w:tbl>
      <w:tblPr>
        <w:tblW w:w="5775" w:type="dxa"/>
        <w:jc w:val="left"/>
        <w:tblInd w:w="0" w:type="dxa"/>
        <w:tblLayout w:type="fixed"/>
        <w:tblCellMar>
          <w:top w:w="28" w:type="dxa"/>
          <w:left w:w="28" w:type="dxa"/>
          <w:bottom w:w="28" w:type="dxa"/>
          <w:right w:w="28" w:type="dxa"/>
        </w:tblCellMar>
      </w:tblPr>
      <w:tblGrid>
        <w:gridCol w:w="3636"/>
        <w:gridCol w:w="146"/>
        <w:gridCol w:w="217"/>
        <w:gridCol w:w="434"/>
        <w:gridCol w:w="150"/>
        <w:gridCol w:w="150"/>
        <w:gridCol w:w="217"/>
        <w:gridCol w:w="434"/>
        <w:gridCol w:w="391"/>
      </w:tblGrid>
      <w:tr>
        <w:trPr/>
        <w:tc>
          <w:tcPr>
            <w:tcW w:w="3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share-based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w:t>
            </w:r>
          </w:p>
        </w:tc>
        <w:tc>
          <w:tcPr>
            <w:tcW w:w="1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(7) Related Party Transactions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Until the completion of its Initial Public Offering (“IPO”), the Company relied on Agenus for all of its working capital requirements. For the periods presented, certain of the Company’s operations were fully integrated with Agenus, including, but not limited to, corporate functions such as finance, human resources, information technology and certain legal functions. The Company’s consolidated financial statements reflect all costs of doing business related to these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September 2021, the Company entered into an Intellectual Property Assignment and License Agreement with Agenus (the “New Assignment and License Agreement”), upon which the prior intercompany agreement between Agenus and MiNK was terminated. Pursuant to the New Assignment and License Agreement, Agenus assigned to the Company certain patent rights and know-how related to its iNKT cell platform, product candidates and other patents and know-how related to its business. In addition to the patent rights assigned to the Company by Agenus, the Company also received an exclusive, royalty-free, sublicensable license to research, develop, manufacture and commercialize certain licensed technology in the field. The New Assignment and License Agreement further provides for the Company to grant Agenus a field-limited, non-exclusive, royalty-free license under the assigned patent rights, subject to MiNK’s discretion and provided such access would not reasonably result in a disruption of planned MiNK activities. Agenus has also agreed to provide the Company with Agenus’ biological material upon written request in order for the Company to use such material in its development activities of a combination therapy. Agenus may withhold the transfer of biological material, including, but not limited to, checkpoint modulating antibodies, for various reasons, including if such transfer would reasonably result in a disruption of planned Agenus activities. For any materials Agenus does share with the Company, the parties have agreed to enter into a separate agreement governing the transfer and providing for joint ownership of the data. Agenus has agreed that during the full term of the New Assignment and License Agreement, and for three years thereafter, it will not develop, manufacture or commercialize an iNKT cell therapy, directly or indirectly by transferring such technology. The Company may terminate the New Assignment and License Agreement without cause upon 90 days’ prior written notice to Agenus. Either party may terminate if there has been a material breach which has not been cured within 90 days (or 45 days for breach of payment obligations) of receiving such notice.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Effective April 1, 2022, the Company entered into an Amended and Restated Intercompany Services Agreement (the “New Intercompany Agreement”) with Agenus, which amended and restated the Intercompany General &amp; Administrative Agreement between the Company and Agenus dated September 10, 2021 (the “Prior Intercompany Agreement”). Under the New Intercompany Agreement, Agenus provides the Company with certain general and administrative support, including, without limitation, financial, facilities management, human resources and information technology administrative support (the “Agenus Services”), and the Company and Agenus provide each other with certain research and development services (the “R&amp;D Services”) and other support services, including legal and regulatory support (the “Shared Services”). The Company is required to pay 10% of Agenus’ costs related to the Agenus Services, and the costs of R&amp;D Services are based upon pass-through costs related to such services plus an allocation of the costs of the employees performing the services. No payment will be due from either party for the Shared Services, provided that the services provided by each party are proportional in scope and volume. The Company is also entitled to use Agenus’ business offices and laboratory space and equipment in exchange for the Company contributing a proportionate payment for the use of such facilities and equipment, and the Company will be covered by certain Agenus insurance policies, subject to certain conditions, including the Company paying the cost of such coverage. Either party may terminate the New Intercompany Agreement upon 60 days’ prior written notice and individual services upon 30 days’ prior written notice.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Allocated Agenus services primarily include payroll related expenses, facility costs, insurance and stock-based compensation, and are included in the accompanying financial statements based on certain estimates and allocations described above. Under the Prior Intercompany Agreement, the allocation methods primarily included time devoted to activities and headcount-based allocations. Agenus business services and occupancy costs were allocated to the Company based on the Company’s headcount as a percentage of Agenus’ and the Company was required to pay 105% of Agenus’ costs for these business services and occupancy costs. Research services were charged between the entities based on hours recorded by Agenus employees as time spent on specific projects, applied to hourly wage rates, and the Company paid 110% of Agenus’ costs for these research services. As such, these allocations may not be indicative of the actual amounts that would have been recorded had the Company operated as an independent, publicly traded company for the periods presented.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Allocation of Agenus services, net of approximately $162,000 and $236,000 for the three months ended March 31, 2026 and 2025, respectively, is included in “Operating expenses” in the Company’s statement of operations and “Due to related parties,” of $15.8 million as of March 31, 2026, in the Company’s condensed consolidated balance sheet. Agenus has agreed to not require repayment of this balance for the foreseeable future. The payable does not carry a stated interest rate and the Company has determined that interest is not required to be imputed because the amount due is commensurate with the value of the services received.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February 12, 2024, the Company and Agenus entered into a Convertible Promissory Note Purchase Agreement (the "Purchase Agreement") pursuant to which the Company issued to Agenus a convertible promissory note in the principal amount of up to $5.0 million (the "Note"). The Purchase Agreement sets forth the terms and conditions, including representations and warranties, for the Company’s issuance and sale of the Note to Agenus.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Note carries an annual rate of interest rate of 2% (the “Interest Rate”) that accrues from the date funds are paid or advanced by Agenus to the Company. Interest shall accrue and not be payable until converted or paid in connection with the repayment in full of the principal amount of the Note. The Note provides that the Company will pay Agenus on request the principal amount outstanding, together with any unpaid interest, on or after January 1, 2026. In the event of a qualified financing event, as defined in the Note, the outstanding principal amount of the Note plus accrued and unpaid interest shall, at Agenus’ election, either be paid in full or converted into equity shares equal to the quotient obtained by dividing (i) the amount due on the date of conversion by (ii) 80% of the per share price of the equity securities sold in the qualified financing. Upon certain change in control events, the Company will pay Agenus an amount equal to (i) 1.5 times the principal then outstanding under the Note and (ii) the amount of accrued interest then outstanding immediately prior to the closing of such change of control.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March 2024, MiNK received $5.0 million from Agenus and the Note was fully drawn. As of December 31, 2025, the Note had a principal balance of $5.0 million, an accrued and unpaid interest balance of $179,444 and an effective interest rate of 15.0%. In January 2026, the Note was repaid in full.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January 2023, the Company's Chief Executive Officer (“CEO” or “Dr. Buell”), became an employee of Agenus in the role of Chairman of the Executive Council, and she was appointed to the Agenus Board of Directors in June 2024. As an employee of Agenus, Dr. Buell is paid $150,000 annually. In June 2024 Dr. Buell was granted an option to acquire 37,500 shares of Agenus common stock that vest over a period of three years, in November 2024 she was granted an option to acquire 300,000 shares of Agenus common stock that vested after one year and in June 2025 Dr. Buell was granted an option to acquire 6,750 shares of Agenus common stock that vest over a period of three years. Dr. Buell receives no additional compensation as an Agenus board member.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Dr. Buell's spouse is a partner in the law firm of Wolf, Greenfield &amp; Sachs, P.C. (“Wolf Greenfield”), which provided legal services to the Company during the periods ended March 31, 2026 and 2025, and continues to do so. For the three months ended March 31, 2026, the Company expensed Wolf Greenfield fees totaling approximately $71,000, and for the three months ended March 31, 2025, the Company expensed Wolf Greenfield fees totaling approximately $91,000. Dr. Buell’s spouse does not receive direct compensation from the fees paid to Wolf Greenfield by the Company and the fees paid by the Company to Wolf Greenfield in the period were an insignificant amount of Wolf Greenfield’s revenues. The Company’s Audit and Finance Committee approved these services under its related-party transactions policy.</w:t>
      </w:r>
    </w:p>
    <w:p>
      <w:pPr>
        <w:pStyle w:val="TextBody"/>
        <w:bidi w:val="0"/>
        <w:spacing w:before="360" w:after="283"/>
        <w:jc w:val="left"/>
        <w:rPr>
          <w:rFonts w:ascii="Times New Roman" w:hAnsi="Times New Roman"/>
          <w:sz w:val="20"/>
        </w:rPr>
      </w:pPr>
      <w:r>
        <w:rPr>
          <w:rFonts w:ascii="Times New Roman" w:hAnsi="Times New Roman"/>
          <w:b/>
          <w:color w:val="000000"/>
          <w:sz w:val="20"/>
        </w:rPr>
        <w:t>(8) Equity</w:t>
      </w:r>
      <w:r>
        <w:rPr>
          <w:rFonts w:ascii="Times New Roman" w:hAnsi="Times New Roman"/>
          <w:color w:val="000000"/>
          <w:sz w:val="20"/>
        </w:rPr>
        <w:t xml:space="preserve">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At the Market Sales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July 15, 2025, the Company entered into an At Market Issuance Sales Agreement (the “Sales Agreement”) with B. Riley Securities, Inc., as sales agent (the “Sales Agent”) to sell shares of the Company’s common stock, from time to time through the Sales Agent, at a maximum aggregate offering price of $50.0 million. The issuances and sales under the Sales Agreement were pursuant to the Company’s registration statement on Form S-3 (File No. 333-268143) (the “2022 Registration Statement”) filed with the Securities and Exchange Commission on November 3, 2022, the base prospectus included in the 2022 Registration Statement, dated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November 8, 2022, and a prospectus supplement, dated July 15, 2025. On November 7, 2025, the Company filed a registration statement on Form S-3 (File No. 333-291388) (the “2025 Registration Statement”) with the Securities and Exchange Commission to replace the 2022 Registration Statement.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three months ended March 31, 2026, the Company sold approximately 193,000 shares of its common stock under the Sales Agreement, resulting in net proceeds of approximately $3.0 million.</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(9) Segments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MiNK is managed and operated as one business segment. The Company does not operate separate lines of business with respect to any of its product candidates or geographic locations. MiNK's single reportable segment is focused on the discovery, development and manufacturing of allogeneic, off-the-shelf, iNKT cell therapies to treat cancer and other immune-mediated diseases.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MiNK's CEO serves as its Chief Operating Decision Maker (“CODM”) and is responsible for reviewing company performance and making decisions regarding resource allocation. The Company's CODM evaluates company performance based on net loss, as included in the Consolidated Statements of Operations and Comprehensive Loss, ensuring resource allocation decisions support company goals. The measure of segment assets is total assets, as included in the Consolidated Balance Sheets. Refer to the consolidated financial statements for other financial information regarding the Company's single reportable segment.</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The following table presents selected financial information related to the Company's single reportable segment for the three months ended March 31, 2026 and 2025 (in thousands):</w:t>
      </w:r>
    </w:p>
    <w:tbl>
      <w:tblPr>
        <w:tblW w:w="5341" w:type="dxa"/>
        <w:jc w:val="left"/>
        <w:tblInd w:w="0" w:type="dxa"/>
        <w:tblLayout w:type="fixed"/>
        <w:tblCellMar>
          <w:top w:w="28" w:type="dxa"/>
          <w:left w:w="28" w:type="dxa"/>
          <w:bottom w:w="28" w:type="dxa"/>
          <w:right w:w="28" w:type="dxa"/>
        </w:tblCellMar>
      </w:tblPr>
      <w:tblGrid>
        <w:gridCol w:w="2486"/>
        <w:gridCol w:w="146"/>
        <w:gridCol w:w="253"/>
        <w:gridCol w:w="759"/>
        <w:gridCol w:w="199"/>
        <w:gridCol w:w="175"/>
        <w:gridCol w:w="253"/>
        <w:gridCol w:w="759"/>
        <w:gridCol w:w="311"/>
      </w:tblGrid>
      <w:tr>
        <w:trPr/>
        <w:tc>
          <w:tcPr>
            <w:tcW w:w="2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4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External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(1,409</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4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Payroll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4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(2,882</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(2,701</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4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4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(2,742</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(2,767</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table above, “Other operating expenses” includes items such as the allocation of Agenus Services, depreciation and amortization expense, stock-based compensation expense, fair value adjustments and expenses related to certain foreign subsidiaries.</w:t>
      </w:r>
    </w:p>
    <w:p>
      <w:pPr>
        <w:pStyle w:val="TextBody"/>
        <w:bidi w:val="0"/>
        <w:spacing w:before="360" w:after="283"/>
        <w:jc w:val="left"/>
        <w:rPr>
          <w:rFonts w:ascii="Times New Roman" w:hAnsi="Times New Roman"/>
          <w:sz w:val="20"/>
        </w:rPr>
      </w:pPr>
      <w:r>
        <w:rPr>
          <w:rFonts w:ascii="Times New Roman" w:hAnsi="Times New Roman"/>
          <w:b/>
          <w:color w:val="000000"/>
          <w:sz w:val="20"/>
        </w:rPr>
        <w:t>(10) 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may currently be, or may become, a party to legal proceedings. While the Company currently believes that the ultimate outcome of any of these proceedings will not have a material adverse effect on its financial position, results of operations, or liquidity, litigation is subject to inherent uncertainty and consumes both cash and management attention.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(11) Recent Accounting Pronouncements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December 2023, the FASB issued ASU 2023-09, Income Taxes (Topic 740): Improvements to Income Tax Disclosures. ASU 2023-09 requires incremental annual disclosures around income tax rate reconciliations, income taxes paid and other related disclosures. For the Company, ASU 2023-09 is effective for fiscal years beginning after December 15, 2025. Early adoption is permitted for any annual periods for which financial statements have not been issued or made available for issuance. The Company is currently evaluating the impact that ASU 2023-09 will have on the notes to its consolidated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November 2024, the FASB issued ASU 2024-03, Disaggregation of Income Statement Expenses (DISE). This new guidance requires all public entities to incorporate disclosures about specific types of expenses included in the expense captions presented on the face of the income statement as well as disclosures about selling expenses. Public entities must adopt ASU 2024-03 prospectively for fiscal years beginning after December 15, 2026, and interim reporting periods beginning after December 15, 2027. Early adoption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and retrospective application are permitted. The Company is currently evaluating the impact that ASU 2024-03 will have on its consolidated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No other new accounting pronouncement issued or effective during the three months ended March 31, 2026 had or is expected to have a material impact on the Company’s consolidated financial statements or disclosures. </w:t>
      </w:r>
    </w:p>
    <w:p>
      <w:pPr>
        <w:pStyle w:val="TextBody"/>
        <w:bidi w:val="0"/>
        <w:spacing w:before="360" w:after="283"/>
        <w:jc w:val="left"/>
        <w:rPr>
          <w:rFonts w:ascii="Times New Roman" w:hAnsi="Times New Roman"/>
          <w:sz w:val="20"/>
        </w:rPr>
      </w:pPr>
      <w:r>
        <w:rPr>
          <w:rFonts w:ascii="Times New Roman" w:hAnsi="Times New Roman"/>
          <w:b/>
          <w:color w:val="000000"/>
          <w:sz w:val="20"/>
        </w:rPr>
        <w:t>(12) Subsequent Events</w:t>
      </w:r>
      <w:r>
        <w:rPr>
          <w:rFonts w:ascii="Times New Roman" w:hAnsi="Times New Roman"/>
          <w:color w:val="000000"/>
          <w:sz w:val="20"/>
        </w:rPr>
        <w:t xml:space="preserve">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At the Market Offerings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period of April 1, 2026 through May 13, 2026, the Company sold approximately 13,100 shares of its common stock under the Sales Agreement, totaling net proceeds of approximately $150,000.</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9" w:name="item_2_managements_discussion_analysis_f"/>
      <w:bookmarkEnd w:id="9"/>
      <w:r>
        <w:rPr>
          <w:rFonts w:ascii="Times New Roman" w:hAnsi="Times New Roman"/>
          <w:b/>
          <w:color w:val="000000"/>
          <w:sz w:val="20"/>
        </w:rPr>
        <w:t>Item 2. Management’s Discussion and Analysis of Financial Condition and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You should read the following discussion and analysis of our financial condition and results of operations together with our unaudited condensed consolidated financial statements and related notes thereto included in this Quarterly Report and our audited consolidated financial statements and related notes thereto for the year ended December 31, 2025, included in our Form 10-K (the “Annual Report”) filed with the SEC on March 31, 2026.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in the section titled “Risk Factors” in our Annual Report as may be updated from time to time in our other filings with the SEC.</w:t>
      </w:r>
    </w:p>
    <w:p>
      <w:pPr>
        <w:pStyle w:val="TextBody"/>
        <w:bidi w:val="0"/>
        <w:spacing w:before="12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MiNK Therapeutics, Inc. (“we,” “us,” “our,” or “Company” ) is focused on developing innovative treatments for cancer and immune-mediated diseases using allogeneic, ex-vivo expanded invariant natural killer T ("iNKT") cells. Amid a broader industry renaissance in innate immunity—highlighted by surging investment and clinical activity in NK, γδ T, and iNKT-based therapies—iNKT cells represent a distinct T cell (“T”) population that uniquely bridges innate and adaptive immunity. They combine durable memory responses characteristic of adaptive T cells with rapid, MHC-independent rapid cytolytic capabilities of natural killer ("NK") cells. This dual functionality enables direct tumor killing via CD1d and stress ligands, potent orchestration of the tumor microenvironment through activation of dendritic cells and NK cells, elimination of immunosuppressive myeloid populations, and restoration of exhausted T-cell function—all while naturally suppressing graft-versus-host disease ("GvHD"). This unique combination positions iNKT cells as an optimal platform for allogeneic therapy, given their natural homing capabilities, tumor clearance potential, and efficacy against infected cells.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approach includes advancing both native and engineered iNKT cell therapies, leveraging a pipeline composed of wholly owned or exclusively licensed assets. Additionally, we have developed a proprietary personalized neoantigen library to facilitate personalized T Cell Receptor ("TCR") development. This library enables us to identify patient-specific tumor neoantigens, which we use to create highly tailored TCR-based therapies. By harnessing these personalized neoantigen libraries, we aim to enhance precision, efficacy, and overall therapeutic outcomes for patients with various cancers and immune-mediated diseases. Our goal is to discover, develop and commercialize novel allogeneic, off-the-shelf, iNKT cell therapies to treat cancer and other immune-mediated diseases with high unmet need. We are employing iNKT cells in their native form, through our lead program agenT-797, in diseases where iNKT cells have demonstrated activity and accelerated approval pathways exist. These indications include but are not limited critical pulmonary immune failure (including severe hypoxemic respiratory failure / pneumonia), GvHD, solid tumor cancers, and other severe immune-related diseases. Our discovery efforts are focused on applying our proprietary technologies to build a broad pipeline of engineered iNKT cells, including CRs, CAR-iNKTs (such as MiNK-215 (FAP-CAR-iNKT) and MiNK-413 (BCMA-CAR-iNKT), and INKT cell engager technology.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business activities include product research and development, manufacturing, regulatory and clinical development, corporate finance, and support of our collaborations. To be successful, our product candidates require clinical trials and approvals from regulatory agencies, as well as acceptance in the marketplace. We are a party to an Amended and Restated Intercompany Services Agreement (the “New Intercompany Agreement”) and an Intellectual Property Assignment and License Agreement with Agenus Inc. ("Agenus"). Under the New Intercompany Agreement, Agenus provides us with certain general and administrative support, including, without limitation, financial, facilities management, human resources and information technology administrative support, and we and Agenus provide each other with certain research and development services and other support services, including legal and regulatory support. We are also entitled to use Agenus’ business offices and laboratory space and equipment in exchange for us contributing a proportionate payment for the use of such facilities and equipment, and we will be covered by certain Agenus insurance policies, subject to certain conditions, including us paying the cost of such coverage. Under the Intellectual Property Assignment and License Agreement, Agenus exclusively assigned patent rights and know-how related to our technology to us. We also have a field-limited exclusive license under certain Agenus patents and know-how; and we retain the rights to expand a proprietary pipeline of products and technologies.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most advanced product candidate, agenT-797, is an off-the-shelf, allogeneic, native iNKT cell therapy. AgenT-797 is currently in clinical trials for solid tumors, GvHD, and critical pulmonary immune failure. Having treated nearly 100 patients with agenT-797 across oncology and critical pulmonary immune failure, we have generated mechanistic and clinical insights that support continued development of our iNKT platform beyond into pulmonary diseases and auto-immune diseases, including in graft-versus-host disease prevention.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leadership of Dr. Terese C. Hammond, our Head of Inflammatory and Pulmonary Diseases, we are advancing a differentiated franchise in critical pulmonary immune failure with agenT-797, our off-the-shelf, allogeneic iNKT cell therapy.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Building on the foundational Phase 1/2 data published in Nature Communications in February 2024 — which demonstrated &gt;70% 30-day survival (80% in the veno-venous extracorporeal membrane oxygenation (“VV-ECMO”) subgroup) in mechanically ventilated patients with severe viral ARDS versus ~10% in contemporaneous controls — we are now advancing agenT-797 in a randomized Phase 2 adaptive, placebo-controlled trial in patients with severe pneumonia and moderate-to-severe hypoxemic acute respiratory failure ("AHRF"). The study, which initiated in Lviv, Ukraine, in partnership with First Lviv Territorial Medical Union and UNBROKEN Ukraine, is designed to evaluate clinically meaningful ICU endpoints including survival, ventilator-free days, and secondary infections, with U.S. sites enrolling in parallel and preliminary data expected in the second half of 2026. Our published results highlighted rapid inflammation resolution, rescue of exhausted T cells, and reduced secondary infections, supporting the broad therapeutic potential of iNKT cells in life-threatening respiratory conditions, including interstitial lung disease ("ILD"). Data presented at ASGCT 2026 in May 2026 further demonstrated that agenT-797 produces context-dependent immune reprogramming—driving anti-inflammatory benefit in ARDS from the same manufacturing donor batch, without genetic engineering—supporting its broad therapeutic potential in life-threatening respiratory conditions, including interstitial lung disease (“ILD”) and idiopathic pulmonary fibrosis (“IPF”).</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cancer, our Phase 1 clinical trial enrolled 34 patients evaluating agenT-797 in refractory solid tumor cancers, as a monotherapy and in combination with anti-PD-1 checkpoint inhibitors, pembrolizumab and nivolumab. Updated data presented at SITC 2025 demonstrated durable clinical activity, including complete remissions and long-term survivors (&gt;2–3+ years) in heavily pretreated, checkpoint-refractory cancers such as metastatic testicular cancer, gastric cancer, thymoma, cholangiocarcinoma, renal cell carcinoma, and adenoid cystic carcinoma, with median overall survival of approximately 23 months in combination with anti-PD-1. These data showed that agenT-797, both as monotherapy and in combination with anti-PD-1 agents, produced meaningful disease control in the majority of heavily pretreated patients, including reductions in target and non-target lesions and prolonged disease stabilization. A detailed case report describing a durable confirmed partial response (42% tumor reduction with progression-free survival exceeding nine months) in a patient with chemotherapy- and PD-1-refractory gastric cancer following a single infusion of agenT-797 was published in Oncogene in January 2024 (Hadfield et al., 2024). Subsequently, a separate case report published in Oncogene in 2025 described a complete clinical, radiologic, and biochemical remission in a patient with heavily pretreated metastatic testicular (germ cell) cancer following a single infusion of agenT-797 in combination with anti-PD-1 therapy; the patient remains without evidence of disease more than two years post-treatment (Garmezy et al., 2025). AgenT-797 also exhibited long-term persistence in peripheral blood (detected up to 6 months post-infusion), independent of HLA matching and without the need for lymphodepletion.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Building on these encouraging results, a Phase 2 investigator-sponsored trial led by Dr. Yelena Janjigian at Memorial Sloan Kettering Cancer Center was initiated (NCT06251973), evaluating the safety and efficacy of agenT-797 in combination with Agenus' botensilimab (an Fc-enhanced anti-CTLA-4 inhibitor) and balstilimab (anti-PD-1), together with ramucirumab and paclitaxel, in patients with previously treated, advanced esophageal, gastric, or gastro-esophageal junction ("GEJ") adenocarcinoma. Early translational data from the first patients in the ongoing Phase 2 combination study were presented at the inaugural AACR Advances in Cancer Immunotherapy (AACR IO) meeting in 2025. These data demonstrated that addition of agenT-797 to botensilimab and balstilimab drove robust immune activation, including elevated interferon-gamma (IFN-γ) levels, rapid tumor infiltration, CD8+ T-cell activation, and immune reprogramming in patients with PD-1-refractory gastroesophageal cancers. Updated clinical and translational data from the ongoing study were presented at the AACR Annual Meeting in April 2026 in San Diego, California. In heavily pretreated, checkpoint-refractory gastroesophageal adenocarcinoma patients, induction treatment with agenT-797 in combination with botensilimab and balstilimab prior to chemotherapy was associated with encouraging progression-free and overall survival outcomes, including emergence of a long-term survival tail in a population with historically poor expected outcomes. Translational analyses demonstrated coordinated immune activation, including elevated interferon-gamma (IFN-γ), enhanced CD8+ T-cell activation, tumor immune infiltration, and evidence of immune reprogramming in PD-1-refractory gastroesophageal cancers.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GvHD, MiNK and the University of Wisconsin–Madison have announced an investigator-sponsored Phase 1 clinical trial evaluating agenT-797 for the prevention of GvHD in patients undergoing allogeneic hematopoietic stem cell transplantation for high-risk leukemias and other blood cancers. The program is supported by non-dilutive funding, including an NIH STTR grant from the National Institute of Allergy and Infectious Diseases (NIAID) for preclinical development and the Mary Gooze Clinical Trial Award to the University of Wisconsin–Madison to directly fund enrollment, immune monitoring, and operations, with first patient dosing expected in mid-2026.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we are advancing a pipeline of next-generation allogeneic, engineered iNKT programs. Our two most advanced preclinical engineered programs are (1) MiNK-413, an IL-15 armored CAR-iNKT program targeting B cell maturation antigen ("BCMA"), and (2) MiNK-215, an IL-15 armored tumor stromal targeting FAP-CAR-iNKT program. MiNK-413 has demonstrated tumor clearance and improved persistence in preclinical models, as well as manufacturing and logistical improvements over current BCMA cell therapies. MiNK-215 reported therapeutic activity in non-small cell lung cancer models, which resulted in substantial tumor elimination and improved survival compared to T cells alone. MiNK has presented data that showcased MiNK-215’s activity in preclinical colorectal cancer models. In human organoid models of CRC with liver metastases, MiNK-215 potently enhanced tumor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killing by T cells and was associated with depletion of immune suppressive FAP-expressing stellate cells and increased CD8+ T cell infiltration. Investigational new drug application (“IND”) enabling studies for MiNK-215 are underway.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With our vertically integrated manufacturing capabilities and experienced team, we are accelerating the development of accessible, off-the-shelf iNKT-based therapies with transformative potential across oncology, critical pulmonary immune failure, and GvHD.</w:t>
      </w:r>
    </w:p>
    <w:p>
      <w:pPr>
        <w:pStyle w:val="TextBody"/>
        <w:bidi w:val="0"/>
        <w:spacing w:before="240" w:after="283"/>
        <w:jc w:val="left"/>
        <w:rPr>
          <w:rFonts w:ascii="Times New Roman" w:hAnsi="Times New Roman"/>
          <w:sz w:val="20"/>
        </w:rPr>
      </w:pPr>
      <w:r>
        <w:rPr>
          <w:rFonts w:ascii="Times New Roman" w:hAnsi="Times New Roman"/>
          <w:b/>
          <w:color w:val="000000"/>
          <w:sz w:val="20"/>
        </w:rPr>
        <w:t>Historical 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Three Months Ended March 31, 2026 Compared to the Three Months Ended March 31, 2025</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i/>
          <w:color w:val="000000"/>
          <w:sz w:val="20"/>
        </w:rPr>
        <w:t>Research and development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(“R&amp;D”) expense includes the costs associated with our internal research and development activities, including compensation and benefits, occupancy costs, manufacturing costs, costs of expert consultants, and administrative costs. R&amp;D expense decreased 5% to $1.2 million for the three months ended March 31, 2026 from $1.3 million for the three months ended March 31, 2025. This decrease was primarily due to decreased costs associated with both the timing of our clinical trials and pre-clinical activities as well as decreased personnel costs, primarily due to decreased headcount.</w:t>
      </w:r>
    </w:p>
    <w:p>
      <w:pPr>
        <w:pStyle w:val="TextBody"/>
        <w:bidi w:val="0"/>
        <w:spacing w:before="240" w:after="283"/>
        <w:jc w:val="left"/>
        <w:rPr>
          <w:rFonts w:ascii="Times New Roman" w:hAnsi="Times New Roman"/>
          <w:sz w:val="20"/>
        </w:rPr>
      </w:pPr>
      <w:r>
        <w:rPr>
          <w:rFonts w:ascii="Times New Roman" w:hAnsi="Times New Roman"/>
          <w:i/>
          <w:color w:val="000000"/>
          <w:sz w:val="20"/>
        </w:rPr>
        <w:t>General and administrative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(“G&amp;A”) expense consists primarily of personnel costs, facility expenses, and professional fees. G&amp;A expense increased 32% to $1.7 million for the three months ended March 31, 2026 from $1.3 million for the three months ended March 31, 2025. This increase was primarily due to an increase in share-based compensation expense, professional fees and other G&amp;A costs.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Other income (expense), net</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Other income increased to approximately $58,600 for the three months ended March 31, 2026 from $80,000 of other expense for the three months ended March 31, 2025, primarily due to foreign currency exchange losses in the three months ended March 31, 2025, compared to foreign currency exchange gains in the three months ended March 31, 2026.</w:t>
      </w:r>
    </w:p>
    <w:p>
      <w:pPr>
        <w:pStyle w:val="TextBody"/>
        <w:bidi w:val="0"/>
        <w:jc w:val="left"/>
        <w:rPr>
          <w:rFonts w:ascii="Times New Roman" w:hAnsi="Times New Roman"/>
          <w:sz w:val="20"/>
        </w:rPr>
      </w:pPr>
      <w:r>
        <w:rPr>
          <w:rFonts w:ascii="Times New Roman" w:hAnsi="Times New Roman"/>
          <w:i/>
          <w:color w:val="000000"/>
          <w:sz w:val="20"/>
        </w:rPr>
        <w:t>Interest income, net</w:t>
      </w:r>
      <w:r>
        <w:rPr>
          <w:rFonts w:ascii="Times New Roman" w:hAnsi="Times New Roman"/>
          <w:color w:val="000000"/>
          <w:sz w:val="20"/>
        </w:rPr>
        <w:t xml:space="preserve">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Interest income increased $67,300 for the three months ended March 31, 2026, from income of $14,000 for the three months ended March 31, 2025 to income of $81,000 for the three months ended March 31, 2026, primarily due to increased interest earned on our money market funds and the repayment of our related party note (the “Note”) in January 2026.</w:t>
      </w:r>
    </w:p>
    <w:p>
      <w:pPr>
        <w:pStyle w:val="TextBody"/>
        <w:bidi w:val="0"/>
        <w:jc w:val="left"/>
        <w:rPr>
          <w:rFonts w:ascii="Times New Roman" w:hAnsi="Times New Roman"/>
          <w:b/>
          <w:color w:val="000000"/>
          <w:sz w:val="20"/>
        </w:rPr>
      </w:pPr>
      <w:r>
        <w:rPr>
          <w:rFonts w:ascii="Times New Roman" w:hAnsi="Times New Roman"/>
          <w:b/>
          <w:color w:val="000000"/>
          <w:sz w:val="20"/>
        </w:rPr>
        <w:t>Research and Development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R&amp;D program costs include compensation and other direct costs plus an allocation of indirect costs, based on certain assumptions.</w:t>
      </w:r>
    </w:p>
    <w:p>
      <w:pPr>
        <w:pStyle w:val="TextBody"/>
        <w:bidi w:val="0"/>
        <w:jc w:val="left"/>
        <w:rPr/>
      </w:pPr>
      <w:r>
        <w:rPr/>
        <w:t> </w:t>
      </w:r>
    </w:p>
    <w:tbl>
      <w:tblPr>
        <w:tblW w:w="8196" w:type="dxa"/>
        <w:jc w:val="left"/>
        <w:tblInd w:w="0" w:type="dxa"/>
        <w:tblLayout w:type="fixed"/>
        <w:tblCellMar>
          <w:top w:w="28" w:type="dxa"/>
          <w:left w:w="28" w:type="dxa"/>
          <w:bottom w:w="28" w:type="dxa"/>
          <w:right w:w="28" w:type="dxa"/>
        </w:tblCellMar>
      </w:tblPr>
      <w:tblGrid>
        <w:gridCol w:w="2341"/>
        <w:gridCol w:w="346"/>
        <w:gridCol w:w="404"/>
        <w:gridCol w:w="1786"/>
        <w:gridCol w:w="146"/>
        <w:gridCol w:w="146"/>
        <w:gridCol w:w="211"/>
        <w:gridCol w:w="931"/>
        <w:gridCol w:w="146"/>
        <w:gridCol w:w="146"/>
        <w:gridCol w:w="211"/>
        <w:gridCol w:w="991"/>
        <w:gridCol w:w="391"/>
      </w:tblGrid>
      <w:tr>
        <w:trPr/>
        <w:tc>
          <w:tcPr>
            <w:tcW w:w="234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w:t>
              <w:b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years ended 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Payroll and personnel costs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3,389,016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4,634,647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fees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247,155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1,353,448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Forgiveness of liability</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(1,788,204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Allocated services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113,933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560,486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517,861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Materials and other</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150,752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1,754,569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1,618,323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1,204,090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5,757,487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6,336,075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product candidates are in various stages of development and significant additional expenditures will be required if we start new clinical trials, encounter delays in our programs, apply for regulatory approvals, continue development of our technologies, expand our operations and/or bring our product candidates to market. The total cost of any particular clinical trial is dependent on a number of factors such as trial design, length of the trial, number of clinical sites, number of patients and trial sponsorship. The process of obtaining and maintaining regulatory approvals for new products is lengthy, expensive and uncertain. Because of the current stage of our product candidates, among other factors, we are unable to reliably estimate the cost of completing our research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and development programs or the timing for bringing such programs to various markets or substantial partnering or out-licensing arrangements, and, therefore, when, if ever, material cash inflows are likely to commence.</w:t>
      </w:r>
    </w:p>
    <w:p>
      <w:pPr>
        <w:pStyle w:val="TextBody"/>
        <w:bidi w:val="0"/>
        <w:spacing w:before="24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annual operating losses since inception in 2017, and we had an accumulated deficit of $159.4 million as of March 31, 2026. We expect to incur losses over the next several years as we continue development of our technologies and product candidates, manage our regulatory processes, initiate and continue clinical trials, and prepare for potential commercialization of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July 15, 2025, we entered into a Sales Agreement with B. Riley Securities, Inc., as sales agent (the “Sales Agent”) to sell shares of our common stock, from time to time through the Sales Agent, at a maximum aggregate offering price of $50.0 million. The issuances and sales under the Sales Agreement are pursuant to our registration statement on Form S-3 (File No. 333-268143) (the “2022 Registration Statement”) filed with the Securities and Exchange Commission on November 3, 2022, the base prospectus included in the 2022 Registration Statement, dated November 8, 2022, and a prospectus supplement, dated July 15, 2025. On November 7, 2025, we filed a registration statement on Form S-3 (File No. 333-291388) (the “2025 Registration Statement”) with the Securities and Exchange Commission to replace the 2022 Registration Statement. We sold approximately 193,000 and 13,100 shares of our common stock pursuant to the Sales Agreement during the three months ended March 31, 2026 and the period of April 1, 2026 through May 13, 2026, respectively, and received aggregate net proceeds totaling $3.2 million. As of May 13, 2026, approximately $31.8 million remained available under the Sales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had a Note outstanding as of December 31, 2025 of $5.0 million in principal plus accrued and unpaid interest of approximately $179,000. In January 2026, in accordance with the terms of the Note, we repaid the Note in full.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cash and cash equivalents balance as of March 31, 2026 was $9.5 million. Subsequent to the quarter end, we received $150,000 from the sales of common stock in at the market offerings. We believe that our cash and cash equivalents balance, plus anticipated funding, will be sufficient to satisfy our liquidity requirements for more than one year from when these financial statements were issued. Because the completion of anticipated funding is not entirely within our control, we are required to disclose that substantial doubt exists about our ability to continue as a going concern for a period of one year after the date of filing of this Quarterly Report on Form 10-Q. The financial statements have been prepared on a basis that assumes we will continue as a going concern and which contemplates the realization of assets and satisfaction of liabilities and commitments in the ordinary course of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Management continually monitors the Company's liquidity position and adjusts spending as needed in order to preserve liquidity. To support our liquidity requirements we will require additional funding. Potential sources of additional funding include: (1) seeking strategic partnerships and collaborations, as well as out-licensing opportunities, for our portfolio programs and product candidates, (2) exploring avenues for securing non-dilutive financing, such as grants, collaborations, and providing fee-based services to strengthen our balance sheet, and (3) potential of equity or debt financing options.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used in operating activities for the three months ended March 31, 2026 and 2025 was $1.7 million and $1.3 million, respectively. Our future ability to generate cash from operations will depend on achieving regulatory approval and market acceptance of our product candidates, and our ability to enter into collaborations.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Quarterly Report on Form 10-Q and other written and oral statements we make from time to time contain certain “forward-looking” statements within the meaning of Section 27A of the Securities Act of 1933 and Section 21E of the Securities Exchange Act of 1934 (the “Exchange Act”). You can identify these forward-looking statements by the fact they use words such as “could,” “expect,” “anticipate,” “estimate,” “target,” “may,” “project,” “guidance,” “intend,” “plan,” “believe,” “will,” “potential,” “opportunity,” and “future,” and other words and terms of similar meaning and expression in connection with any discussion of future operating or financial performance. You can also identify forward-looking statements by the fact that they do not relate strictly to historical or current facts. Such forward-looking statements are based on current expectations and involve inherent risks and uncertainties, and other important factors, including factors that could delay, divert or change any of them, and could cause actual outcomes to differ materially from current expectations. These statements relate to, among other things, our business strategy, our research and development, our product development efforts, our ability to develop, including our ability to develop and obtain licensure of agenT-797, MiNK-215, and MiNK-413, our prospects for initiating partnerships or collaborations, the timing of the introduction of products, the effect of new accounting pronouncements, uncertainty regarding our future operating results and our profitability, our cash runway and anticipated sources of funds, our ability to operate as a going concern, as well as our plans, objectives, expectations, and intentions.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 detailed descriptions of these risks and uncertainties and other risks and uncertainties applicable to our business that we believe could cause actual results to differ materially from any forward-looking statements are included in in Part I-Item 1A “Risk Factors” of our Annual Report on Form 10-K for the fiscal year ended December 31, 2025 as updated by Part II-Item 1A “Risk Factors” elsewhere in this Quarterly Report on Form 10-Q. We encourage you to read those descriptions carefully. Although we believe we have been prudent in our plans and assumptions, no assurance can be given that any goal or plan set forth in forward-looking statements can be achieved. We caution investors not to place significant reliance on forward-looking statements contained in this document; such statements need to be evaluated in light of all the information contained in this document. Furthermore, the statements speak only as of the date of this document, and we undertake no obligation to update or revise these statements.</w:t>
      </w:r>
    </w:p>
    <w:p>
      <w:pPr>
        <w:pStyle w:val="TextBody"/>
        <w:bidi w:val="0"/>
        <w:spacing w:before="240" w:after="283"/>
        <w:jc w:val="left"/>
        <w:rPr>
          <w:rFonts w:ascii="Times New Roman" w:hAnsi="Times New Roman"/>
          <w:sz w:val="20"/>
        </w:rPr>
      </w:pPr>
      <w:r>
        <w:rPr>
          <w:rFonts w:ascii="Times New Roman" w:hAnsi="Times New Roman"/>
          <w:b/>
          <w:color w:val="000000"/>
          <w:sz w:val="20"/>
        </w:rPr>
        <w:t>JOBS Act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qualify as an “emerging growth company” as defined in the Jumpstart Our Business Startups Act of 2012 (the “JOBS Act”). As an emerging growth company, we may take advantage of specified reduced disclosure and other requirements that are otherwise applicable generally to public companies, including reduced disclosure about our executive compensation arrangements, exemption from the requirements to hold non-binding advisory votes on executive compensation and golden parachute payments and exemption from the auditor attestation requirement in the assessment of our internal control over financial reporting.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take advantage of these exemptions until the last day of the fiscal year following the fifth anniversary (December 31, 2026) of our initial public offering or such earlier time that we are no longer an emerging growth company. We would cease to be an emerging growth company earlier if (i) we have more than $1.235 billion in annual revenue, (ii) we are deemed to be a large accelerated filer, which among other things would require us to have more than $700.0 million in market value of our stock held by non-affiliates as of the last business day of our prior second fiscal quarter, or (iii) we issue more than $1.0 billion of non-convertible debt securities over a three-year period. For so long as we remain an emerging growth company, we are permitted, and intend, to rely on exemptions from certain disclosure requirements that are applicable to other public companies that are not emerging growth companies. We may choose to take advantage of some, but not all, of the available exemptions.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emerging growth company. Therefore, the reported results of operations contained in our consolidated financial statements may not be directly comparable to those of other public companies.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10" w:name="item_3_quantitative_qualitative_disclosu"/>
      <w:bookmarkEnd w:id="10"/>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item is not required for smaller reporting companies.</w:t>
      </w:r>
    </w:p>
    <w:p>
      <w:pPr>
        <w:pStyle w:val="TextBody"/>
        <w:bidi w:val="0"/>
        <w:spacing w:before="240" w:after="283"/>
        <w:jc w:val="left"/>
        <w:rPr>
          <w:rFonts w:ascii="Times New Roman" w:hAnsi="Times New Roman"/>
          <w:b/>
          <w:color w:val="000000"/>
          <w:sz w:val="20"/>
        </w:rPr>
      </w:pPr>
      <w:bookmarkStart w:id="11" w:name="item_4_controls_procedures"/>
      <w:bookmarkEnd w:id="11"/>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maintain disclosure controls and procedures (as that term is defined in Rules 13a-15(e) and 15d-15(e) under the Exchange Act) that are designed to ensure that information required to be disclosed in our reports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disclosures. In designing and evaluating our disclosure controls and procedures, management recognizes that any controls and procedures, no matter how well designed and operated, can provide only reasonable assurance of achieving the desired control objectives and management necessarily applies its judgment in evaluating the benefits of possible controls and procedures relative to their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with the participation of our principal executive officer and principal financial officer, evaluated the effectiveness of our disclosure controls and procedures as of March 31, 2026. Based on this evaluation, our principal executive officer and principal financial officer concluded that our disclosure controls and procedures were effective as of March 31, 2026 at the reasonable assurance level.</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was no change in our internal control over financial reporting (as defined in Rules 13a-15(f) and 15d-15(f) under the Exchange Act) that occurred during the three months ended March 31, 2026 that have materially affected, or are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2" w:name="part_ii_other_information"/>
      <w:bookmarkEnd w:id="12"/>
      <w:r>
        <w:rPr>
          <w:rFonts w:ascii="Times New Roman" w:hAnsi="Times New Roman"/>
          <w:b/>
          <w:color w:val="000000"/>
          <w:sz w:val="20"/>
        </w:rPr>
        <w:t>PART II—OTHER INFORMATION</w:t>
      </w:r>
    </w:p>
    <w:p>
      <w:pPr>
        <w:pStyle w:val="TextBody"/>
        <w:bidi w:val="0"/>
        <w:spacing w:before="240" w:after="283"/>
        <w:jc w:val="left"/>
        <w:rPr>
          <w:rFonts w:ascii="Times New Roman" w:hAnsi="Times New Roman"/>
          <w:sz w:val="20"/>
        </w:rPr>
      </w:pPr>
      <w:bookmarkStart w:id="13" w:name="item_1_legal_proceedings"/>
      <w:bookmarkEnd w:id="13"/>
      <w:r>
        <w:rPr>
          <w:rFonts w:ascii="Times New Roman" w:hAnsi="Times New Roman"/>
          <w:b/>
          <w:color w:val="000000"/>
          <w:sz w:val="20"/>
        </w:rPr>
        <w:t>Item 1. Legal</w:t>
      </w:r>
      <w:r>
        <w:rPr>
          <w:rFonts w:ascii="Times New Roman" w:hAnsi="Times New Roman"/>
          <w:color w:val="000000"/>
          <w:sz w:val="20"/>
        </w:rPr>
        <w:t xml:space="preserve"> </w:t>
      </w:r>
      <w:r>
        <w:rPr>
          <w:rFonts w:ascii="Times New Roman" w:hAnsi="Times New Roman"/>
          <w:b/>
          <w:color w:val="000000"/>
          <w:sz w:val="20"/>
        </w:rPr>
        <w:t>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not a party to any material legal proceedings.</w:t>
      </w:r>
    </w:p>
    <w:p>
      <w:pPr>
        <w:pStyle w:val="TextBody"/>
        <w:bidi w:val="0"/>
        <w:spacing w:before="240" w:after="283"/>
        <w:jc w:val="left"/>
        <w:rPr>
          <w:rFonts w:ascii="Times New Roman" w:hAnsi="Times New Roman"/>
          <w:b/>
          <w:color w:val="000000"/>
          <w:sz w:val="20"/>
        </w:rPr>
      </w:pPr>
      <w:bookmarkStart w:id="14" w:name="item_1a_risk_factors"/>
      <w:bookmarkEnd w:id="14"/>
      <w:r>
        <w:rPr>
          <w:rFonts w:ascii="Times New Roman" w:hAnsi="Times New Roman"/>
          <w:b/>
          <w:color w:val="000000"/>
          <w:sz w:val="20"/>
        </w:rPr>
        <w:t>Item 1A.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Investing in our common stock involves a high degree of risk. In addition to the other information set forth in this Quarterly Report and in other documents that we file with the SEC, you should carefully consider the factors described in the section titled "Risk Factors" in our Form 10-K for the fiscal year ended December 31, 2025. There have been no material changes to the risk factors described in Part I, Item 1A of our 2025 Form 10-K. If any of the risk factors described in the Form 10-K actually materializes, our business, financial condition and results of operations could be materially adversely affected. In such an event, the market price of our common stock could decline and you may lose all or part of your investment. Additional risks that we currently do not know about or that we currently believe to be immaterial may also impair our business. We may disclose changes to such risk factors or disclose additional risk factors from time to time in our future filings with the SEC.</w:t>
      </w:r>
    </w:p>
    <w:p>
      <w:pPr>
        <w:pStyle w:val="TextBody"/>
        <w:bidi w:val="0"/>
        <w:spacing w:before="120" w:after="283"/>
        <w:jc w:val="left"/>
        <w:rPr/>
      </w:pPr>
      <w:r>
        <w:rPr/>
        <w:t> </w:t>
      </w:r>
    </w:p>
    <w:p>
      <w:pPr>
        <w:pStyle w:val="TextBody"/>
        <w:bidi w:val="0"/>
        <w:spacing w:before="240" w:after="283"/>
        <w:jc w:val="left"/>
        <w:rPr>
          <w:rFonts w:ascii="Times New Roman" w:hAnsi="Times New Roman"/>
          <w:b/>
          <w:color w:val="000000"/>
          <w:sz w:val="20"/>
        </w:rPr>
      </w:pPr>
      <w:bookmarkStart w:id="15" w:name="item_5_other_info"/>
      <w:bookmarkEnd w:id="15"/>
      <w:r>
        <w:rPr>
          <w:rFonts w:ascii="Times New Roman" w:hAnsi="Times New Roman"/>
          <w:b/>
          <w:color w:val="000000"/>
          <w:sz w:val="20"/>
        </w:rPr>
        <w:t>Item 5. Other Information.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Disclosure in lieu of reporting on a Current Report on Form 8-K.</w:t>
      </w:r>
    </w:p>
    <w:p>
      <w:pPr>
        <w:pStyle w:val="TextBody"/>
        <w:bidi w:val="0"/>
        <w:spacing w:before="320" w:after="283"/>
        <w:jc w:val="left"/>
        <w:rPr>
          <w:rFonts w:ascii="Times New Roman" w:hAnsi="Times New Roman"/>
          <w:i/>
          <w:color w:val="000000"/>
          <w:sz w:val="20"/>
        </w:rPr>
      </w:pPr>
      <w:r>
        <w:rPr>
          <w:rFonts w:ascii="Times New Roman" w:hAnsi="Times New Roman"/>
          <w:i/>
          <w:color w:val="000000"/>
          <w:sz w:val="20"/>
        </w:rPr>
        <w:t>Departure of Principal Accounting Officer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May 12, 2026, Austin Charette, Principal Accounting Officer of the Company, informed the Company he will be resigning effective May 29, 2026.</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Insider trading arrangements and policies</w:t>
      </w:r>
    </w:p>
    <w:p>
      <w:pPr>
        <w:pStyle w:val="TextBody"/>
        <w:bidi w:val="0"/>
        <w:spacing w:before="320" w:after="283"/>
        <w:jc w:val="left"/>
        <w:rPr>
          <w:rFonts w:ascii="Times New Roman" w:hAnsi="Times New Roman"/>
          <w:i/>
          <w:color w:val="000000"/>
          <w:sz w:val="20"/>
        </w:rPr>
      </w:pPr>
      <w:r>
        <w:rPr>
          <w:rFonts w:ascii="Times New Roman" w:hAnsi="Times New Roman"/>
          <w:i/>
          <w:color w:val="000000"/>
          <w:sz w:val="20"/>
        </w:rPr>
        <w:t>Trading Plans of Our Directors and Officers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quarter ended March 31, 2026, none of our directors or executive officers adopted or terminated a “Rule 10b5-1 trading arrangement” or “non-Rule 10b5-1 trading arrangement,” as each item is defined in Item 408 of Regulation S-K.</w:t>
      </w:r>
    </w:p>
    <w:p>
      <w:pPr>
        <w:pStyle w:val="TextBody"/>
        <w:bidi w:val="0"/>
        <w:spacing w:before="3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6" w:name="item_6_exhibits"/>
      <w:bookmarkEnd w:id="16"/>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84"/>
        <w:gridCol w:w="146"/>
        <w:gridCol w:w="9275"/>
      </w:tblGrid>
      <w:tr>
        <w:trPr/>
        <w:tc>
          <w:tcPr>
            <w:tcW w:w="7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75" w:type="dxa"/>
            <w:tcBorders/>
            <w:vAlign w:val="center"/>
          </w:tcPr>
          <w:p>
            <w:pPr>
              <w:pStyle w:val="TableContents"/>
              <w:bidi w:val="0"/>
              <w:spacing w:before="0" w:after="283"/>
              <w:jc w:val="left"/>
              <w:rPr>
                <w:sz w:val="4"/>
                <w:szCs w:val="4"/>
              </w:rPr>
            </w:pPr>
            <w:r>
              <w:rPr>
                <w:sz w:val="4"/>
                <w:szCs w:val="4"/>
              </w:rPr>
            </w:r>
          </w:p>
        </w:tc>
      </w:tr>
      <w:tr>
        <w:trPr/>
        <w:tc>
          <w:tcPr>
            <w:tcW w:w="784"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75"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nkt-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nkt-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nkt-ex32_1.htm">
              <w:r>
                <w:rPr>
                  <w:rStyle w:val="InternetLink"/>
                  <w:rFonts w:ascii="Times New Roman" w:hAnsi="Times New Roman"/>
                  <w:color w:val="0000FF"/>
                  <w:sz w:val="20"/>
                  <w:u w:val="single"/>
                </w:rPr>
                <w:t>Certification of Principal Executive Officer and Principal Financial Officer Pursuant to 18 U.S.C. Section 1350, as Adopted Pursuant to Section 906 of the Sarbanes-Oxley Act of 2002.</w:t>
              </w:r>
            </w:hyperlink>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pBdr>
          <w:bottom w:val="single" w:sz="4"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Furnished herewith.</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7" w:name="signatures"/>
      <w:bookmarkEnd w:id="17"/>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8114" w:type="dxa"/>
        <w:jc w:val="left"/>
        <w:tblInd w:w="0" w:type="dxa"/>
        <w:tblLayout w:type="fixed"/>
        <w:tblCellMar>
          <w:top w:w="28" w:type="dxa"/>
          <w:left w:w="28" w:type="dxa"/>
          <w:bottom w:w="28" w:type="dxa"/>
          <w:right w:w="28" w:type="dxa"/>
        </w:tblCellMar>
      </w:tblPr>
      <w:tblGrid>
        <w:gridCol w:w="1741"/>
        <w:gridCol w:w="146"/>
        <w:gridCol w:w="406"/>
        <w:gridCol w:w="5821"/>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821"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MiNK Therapeutics, Inc.</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15,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82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Jennifer S. Buell, Ph.D.</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Jennifer S. Buell, Ph.D.</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President and Chief Executive Officer (Principal Executive Officer)</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15,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8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Melissa Orilall</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Melissa Orilall</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Officer</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bookmarkStart w:id="18" w:name="inkt-ex31_1.htm"/>
      <w:bookmarkStart w:id="19" w:name="ksinktex31_1"/>
      <w:bookmarkEnd w:id="18"/>
      <w:bookmarkEnd w:id="19"/>
      <w:r>
        <w:rPr/>
        <w:t> </w:t>
      </w:r>
      <w:r>
        <w:br w:type="page"/>
      </w:r>
    </w:p>
    <w:p>
      <w:pPr>
        <w:pStyle w:val="TextBody"/>
        <w:bidi w:val="0"/>
        <w:jc w:val="right"/>
        <w:rPr>
          <w:rFonts w:ascii="Times New Roman" w:hAnsi="Times New Roman"/>
          <w:b/>
          <w:color w:val="000000"/>
          <w:sz w:val="20"/>
        </w:rPr>
      </w:pPr>
      <w:bookmarkStart w:id="20" w:name="exhibit_31_1"/>
      <w:bookmarkEnd w:id="20"/>
      <w:r>
        <w:rPr>
          <w:rFonts w:ascii="Times New Roman" w:hAnsi="Times New Roman"/>
          <w:b/>
          <w:color w:val="000000"/>
          <w:sz w:val="20"/>
        </w:rPr>
        <w:t>Exhibit 31.1</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Certification Pursuant to Rules 13a-14(a) and 15d-14(a) under the Securities Exchange Act of 1934, as amended</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 Jennifer S. Buell, certify that: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 have reviewed this Quarterly Report on Form 10-Q of MiNK Therapeutics, Inc.;</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U.S. generally accepted accounting principles;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p>
      <w:pPr>
        <w:pStyle w:val="TextBody"/>
        <w:bidi w:val="0"/>
        <w:jc w:val="left"/>
        <w:rPr/>
      </w:pPr>
      <w:r>
        <w:rPr/>
        <w:t> </w:t>
      </w:r>
    </w:p>
    <w:tbl>
      <w:tblPr>
        <w:tblW w:w="6852" w:type="dxa"/>
        <w:jc w:val="left"/>
        <w:tblInd w:w="0" w:type="dxa"/>
        <w:tblLayout w:type="fixed"/>
        <w:tblCellMar>
          <w:top w:w="28" w:type="dxa"/>
          <w:left w:w="28" w:type="dxa"/>
          <w:bottom w:w="28" w:type="dxa"/>
          <w:right w:w="28" w:type="dxa"/>
        </w:tblCellMar>
      </w:tblPr>
      <w:tblGrid>
        <w:gridCol w:w="911"/>
        <w:gridCol w:w="829"/>
        <w:gridCol w:w="146"/>
        <w:gridCol w:w="4966"/>
      </w:tblGrid>
      <w:tr>
        <w:trPr/>
        <w:tc>
          <w:tcPr>
            <w:tcW w:w="911"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6" w:type="dxa"/>
            <w:tcBorders/>
            <w:vAlign w:val="center"/>
          </w:tcPr>
          <w:p>
            <w:pPr>
              <w:pStyle w:val="TableContents"/>
              <w:bidi w:val="0"/>
              <w:spacing w:before="0" w:after="283"/>
              <w:jc w:val="left"/>
              <w:rPr>
                <w:sz w:val="4"/>
                <w:szCs w:val="4"/>
              </w:rPr>
            </w:pPr>
            <w:r>
              <w:rPr>
                <w:sz w:val="4"/>
                <w:szCs w:val="4"/>
              </w:rPr>
            </w:r>
          </w:p>
        </w:tc>
      </w:tr>
      <w:tr>
        <w:trPr/>
        <w:tc>
          <w:tcPr>
            <w:tcW w:w="174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15,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6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Jennifer S. Buell, Ph.D.</w:t>
            </w:r>
          </w:p>
        </w:tc>
      </w:tr>
      <w:tr>
        <w:trPr/>
        <w:tc>
          <w:tcPr>
            <w:tcW w:w="911" w:type="dxa"/>
            <w:tcBorders/>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Jennifer S. Buell, Ph.D.</w:t>
            </w:r>
          </w:p>
        </w:tc>
      </w:tr>
      <w:tr>
        <w:trPr/>
        <w:tc>
          <w:tcPr>
            <w:tcW w:w="911" w:type="dxa"/>
            <w:tcBorders/>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President, Chief Executive Officer and Principal Executive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1" w:name="inkt-ex31_2.htm"/>
      <w:bookmarkStart w:id="22" w:name="ksinktex31_2"/>
      <w:bookmarkEnd w:id="21"/>
      <w:bookmarkEnd w:id="22"/>
      <w:r>
        <w:rPr/>
        <w:t> </w:t>
      </w:r>
      <w:r>
        <w:br w:type="page"/>
      </w:r>
    </w:p>
    <w:p>
      <w:pPr>
        <w:pStyle w:val="TextBody"/>
        <w:bidi w:val="0"/>
        <w:jc w:val="right"/>
        <w:rPr>
          <w:rFonts w:ascii="Times New Roman" w:hAnsi="Times New Roman"/>
          <w:b/>
          <w:color w:val="000000"/>
          <w:sz w:val="20"/>
        </w:rPr>
      </w:pPr>
      <w:bookmarkStart w:id="23" w:name="exhibit_31_2"/>
      <w:bookmarkEnd w:id="23"/>
      <w:r>
        <w:rPr>
          <w:rFonts w:ascii="Times New Roman" w:hAnsi="Times New Roman"/>
          <w:b/>
          <w:color w:val="000000"/>
          <w:sz w:val="20"/>
        </w:rPr>
        <w:t>Exhibit 31.2</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Certification Pursuant to Rules 13a-14(a) and 15d-14(a) under the Securities Exchange Act of 1934, as amended</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 Melissa Orilall, certify that: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 have reviewed this Quarterly Report on Form 10-Q of MiNK Therapeutics, Inc.;</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U.S. generally accepted accounting principles;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p>
      <w:pPr>
        <w:pStyle w:val="TextBody"/>
        <w:bidi w:val="0"/>
        <w:jc w:val="left"/>
        <w:rPr/>
      </w:pPr>
      <w:r>
        <w:rPr/>
        <w:t> </w:t>
      </w:r>
    </w:p>
    <w:tbl>
      <w:tblPr>
        <w:tblW w:w="3987" w:type="dxa"/>
        <w:jc w:val="left"/>
        <w:tblInd w:w="0" w:type="dxa"/>
        <w:tblLayout w:type="fixed"/>
        <w:tblCellMar>
          <w:top w:w="28" w:type="dxa"/>
          <w:left w:w="28" w:type="dxa"/>
          <w:bottom w:w="28" w:type="dxa"/>
          <w:right w:w="28" w:type="dxa"/>
        </w:tblCellMar>
      </w:tblPr>
      <w:tblGrid>
        <w:gridCol w:w="911"/>
        <w:gridCol w:w="829"/>
        <w:gridCol w:w="146"/>
        <w:gridCol w:w="2101"/>
      </w:tblGrid>
      <w:tr>
        <w:trPr/>
        <w:tc>
          <w:tcPr>
            <w:tcW w:w="911"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174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15,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0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Melissa Orilall</w:t>
            </w:r>
          </w:p>
        </w:tc>
      </w:tr>
      <w:tr>
        <w:trPr/>
        <w:tc>
          <w:tcPr>
            <w:tcW w:w="911" w:type="dxa"/>
            <w:tcBorders/>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Melissa Orilall</w:t>
            </w:r>
          </w:p>
        </w:tc>
      </w:tr>
      <w:tr>
        <w:trPr/>
        <w:tc>
          <w:tcPr>
            <w:tcW w:w="911" w:type="dxa"/>
            <w:tcBorders/>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 Financial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4" w:name="inkt-ex32_1.htm"/>
      <w:bookmarkStart w:id="25" w:name="ksinktex32_1"/>
      <w:bookmarkEnd w:id="24"/>
      <w:bookmarkEnd w:id="25"/>
      <w:r>
        <w:rPr/>
        <w:t> </w:t>
      </w:r>
      <w:r>
        <w:br w:type="page"/>
      </w:r>
    </w:p>
    <w:p>
      <w:pPr>
        <w:pStyle w:val="TextBody"/>
        <w:bidi w:val="0"/>
        <w:jc w:val="right"/>
        <w:rPr>
          <w:rFonts w:ascii="Times New Roman" w:hAnsi="Times New Roman"/>
          <w:b/>
          <w:color w:val="000000"/>
          <w:sz w:val="20"/>
        </w:rPr>
      </w:pPr>
      <w:bookmarkStart w:id="26" w:name="exhibit_32_1"/>
      <w:bookmarkEnd w:id="26"/>
      <w:r>
        <w:rPr>
          <w:rFonts w:ascii="Times New Roman" w:hAnsi="Times New Roman"/>
          <w:b/>
          <w:color w:val="000000"/>
          <w:sz w:val="20"/>
        </w:rPr>
        <w:t>Exhibit 32.1</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Certification</w:t>
      </w:r>
    </w:p>
    <w:p>
      <w:pPr>
        <w:pStyle w:val="TextBody"/>
        <w:bidi w:val="0"/>
        <w:jc w:val="center"/>
        <w:rPr>
          <w:rFonts w:ascii="Times New Roman" w:hAnsi="Times New Roman"/>
          <w:color w:val="000000"/>
          <w:sz w:val="20"/>
        </w:rPr>
      </w:pPr>
      <w:r>
        <w:rPr>
          <w:rFonts w:ascii="Times New Roman" w:hAnsi="Times New Roman"/>
          <w:color w:val="000000"/>
          <w:sz w:val="20"/>
        </w:rPr>
        <w:t>Pursuant to 18 U.S.C. Section 1350,</w:t>
      </w:r>
    </w:p>
    <w:p>
      <w:pPr>
        <w:pStyle w:val="TextBody"/>
        <w:bidi w:val="0"/>
        <w:jc w:val="center"/>
        <w:rPr>
          <w:rFonts w:ascii="Times New Roman" w:hAnsi="Times New Roman"/>
          <w:color w:val="000000"/>
          <w:sz w:val="20"/>
        </w:rPr>
      </w:pPr>
      <w:r>
        <w:rPr>
          <w:rFonts w:ascii="Times New Roman" w:hAnsi="Times New Roman"/>
          <w:color w:val="000000"/>
          <w:sz w:val="20"/>
        </w:rPr>
        <w:t>As Adopted Pursuant to Section 906 of the Sarbanes-Oxley Act of 2002</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In connection with the Quarterly Report on Form 10-Q of MiNK Therapeutics, Inc. (the “Company”) for the quarterly period ended March 31, 2026 as filed with the Securities and Exchange Commission on the date hereof (the “Report”), each of the undersigned to his/her knowledge hereby certifies, pursuant to 18 U.S.C. Section 1350, that: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(ii)</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5127" w:type="dxa"/>
        <w:jc w:val="left"/>
        <w:tblInd w:w="0" w:type="dxa"/>
        <w:tblLayout w:type="fixed"/>
        <w:tblCellMar>
          <w:top w:w="28" w:type="dxa"/>
          <w:left w:w="28" w:type="dxa"/>
          <w:bottom w:w="28" w:type="dxa"/>
          <w:right w:w="28" w:type="dxa"/>
        </w:tblCellMar>
      </w:tblPr>
      <w:tblGrid>
        <w:gridCol w:w="161"/>
        <w:gridCol w:w="4966"/>
      </w:tblGrid>
      <w:tr>
        <w:trPr/>
        <w:tc>
          <w:tcPr>
            <w:tcW w:w="161" w:type="dxa"/>
            <w:tcBorders/>
            <w:vAlign w:val="center"/>
          </w:tcPr>
          <w:p>
            <w:pPr>
              <w:pStyle w:val="TableContents"/>
              <w:bidi w:val="0"/>
              <w:spacing w:before="0" w:after="283"/>
              <w:jc w:val="left"/>
              <w:rPr>
                <w:sz w:val="4"/>
                <w:szCs w:val="4"/>
              </w:rPr>
            </w:pPr>
            <w:r>
              <w:rPr>
                <w:sz w:val="4"/>
                <w:szCs w:val="4"/>
              </w:rPr>
            </w:r>
          </w:p>
        </w:tc>
        <w:tc>
          <w:tcPr>
            <w:tcW w:w="496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40" w:after="40"/>
              <w:jc w:val="left"/>
              <w:rPr/>
            </w:pPr>
            <w:r>
              <w:rPr/>
              <w:t> </w:t>
            </w:r>
          </w:p>
        </w:tc>
        <w:tc>
          <w:tcPr>
            <w:tcW w:w="4966" w:type="dxa"/>
            <w:tcBorders>
              <w:bottom w:val="single" w:sz="8" w:space="0" w:color="000000"/>
            </w:tcBorders>
            <w:tcMar>
              <w:top w:w="0" w:type="dxa"/>
              <w:left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/s/ Jennifer S. Buell, Ph.D.</w:t>
            </w:r>
          </w:p>
        </w:tc>
      </w:tr>
      <w:tr>
        <w:trPr/>
        <w:tc>
          <w:tcPr>
            <w:tcW w:w="161" w:type="dxa"/>
            <w:tcBorders/>
            <w:tcMar>
              <w:top w:w="0" w:type="dxa"/>
              <w:left w:w="0" w:type="dxa"/>
              <w:bottom w:w="0" w:type="dxa"/>
              <w:right w:w="0" w:type="dxa"/>
            </w:tcMar>
            <w:vAlign w:val="center"/>
          </w:tcPr>
          <w:p>
            <w:pPr>
              <w:pStyle w:val="TableContents"/>
              <w:bidi w:val="0"/>
              <w:spacing w:before="40" w:after="40"/>
              <w:jc w:val="left"/>
              <w:rPr/>
            </w:pPr>
            <w:r>
              <w:rPr/>
              <w:t> </w:t>
            </w:r>
          </w:p>
        </w:tc>
        <w:tc>
          <w:tcPr>
            <w:tcW w:w="496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b/>
                <w:color w:val="000000"/>
                <w:sz w:val="16"/>
              </w:rPr>
            </w:pPr>
            <w:r>
              <w:rPr>
                <w:rFonts w:ascii="Times New Roman" w:hAnsi="Times New Roman"/>
                <w:b/>
                <w:color w:val="000000"/>
                <w:sz w:val="16"/>
              </w:rPr>
              <w:t>Jennifer S. Buell, Ph.D.</w:t>
            </w:r>
          </w:p>
        </w:tc>
      </w:tr>
      <w:tr>
        <w:trPr/>
        <w:tc>
          <w:tcPr>
            <w:tcW w:w="161" w:type="dxa"/>
            <w:tcBorders/>
            <w:tcMar>
              <w:top w:w="0" w:type="dxa"/>
              <w:left w:w="0" w:type="dxa"/>
              <w:bottom w:w="0" w:type="dxa"/>
              <w:right w:w="0" w:type="dxa"/>
            </w:tcMar>
            <w:vAlign w:val="center"/>
          </w:tcPr>
          <w:p>
            <w:pPr>
              <w:pStyle w:val="TableContents"/>
              <w:bidi w:val="0"/>
              <w:spacing w:before="40" w:after="40"/>
              <w:jc w:val="left"/>
              <w:rPr/>
            </w:pPr>
            <w:r>
              <w:rPr/>
              <w:t> </w:t>
            </w:r>
          </w:p>
        </w:tc>
        <w:tc>
          <w:tcPr>
            <w:tcW w:w="496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b/>
                <w:color w:val="000000"/>
                <w:sz w:val="16"/>
              </w:rPr>
            </w:pPr>
            <w:r>
              <w:rPr>
                <w:rFonts w:ascii="Times New Roman" w:hAnsi="Times New Roman"/>
                <w:b/>
                <w:color w:val="000000"/>
                <w:sz w:val="16"/>
              </w:rPr>
              <w:t>President, Chief Executive Officer and Principal Executive Officer</w:t>
            </w:r>
          </w:p>
        </w:tc>
      </w:tr>
      <w:tr>
        <w:trPr/>
        <w:tc>
          <w:tcPr>
            <w:tcW w:w="161" w:type="dxa"/>
            <w:tcBorders/>
            <w:tcMar>
              <w:top w:w="0" w:type="dxa"/>
              <w:left w:w="0" w:type="dxa"/>
              <w:bottom w:w="0" w:type="dxa"/>
              <w:right w:w="0" w:type="dxa"/>
            </w:tcMar>
            <w:vAlign w:val="center"/>
          </w:tcPr>
          <w:p>
            <w:pPr>
              <w:pStyle w:val="TableContents"/>
              <w:bidi w:val="0"/>
              <w:spacing w:before="40" w:after="40"/>
              <w:jc w:val="left"/>
              <w:rPr/>
            </w:pPr>
            <w:r>
              <w:rPr/>
              <w:t> </w:t>
            </w:r>
          </w:p>
        </w:tc>
        <w:tc>
          <w:tcPr>
            <w:tcW w:w="4966" w:type="dxa"/>
            <w:tcBorders/>
            <w:tcMar>
              <w:top w:w="0" w:type="dxa"/>
              <w:left w:w="0" w:type="dxa"/>
              <w:bottom w:w="0" w:type="dxa"/>
              <w:right w:w="0" w:type="dxa"/>
            </w:tcMar>
            <w:vAlign w:val="center"/>
          </w:tcPr>
          <w:p>
            <w:pPr>
              <w:pStyle w:val="TableContents"/>
              <w:bidi w:val="0"/>
              <w:spacing w:before="40" w:after="40"/>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40" w:after="40"/>
              <w:jc w:val="left"/>
              <w:rPr/>
            </w:pPr>
            <w:r>
              <w:rPr/>
              <w:t> </w:t>
            </w:r>
          </w:p>
        </w:tc>
        <w:tc>
          <w:tcPr>
            <w:tcW w:w="4966" w:type="dxa"/>
            <w:tcBorders>
              <w:bottom w:val="single" w:sz="8" w:space="0" w:color="000000"/>
            </w:tcBorders>
            <w:tcMar>
              <w:top w:w="0" w:type="dxa"/>
              <w:left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/s/ Melissa Orilall</w:t>
            </w:r>
          </w:p>
        </w:tc>
      </w:tr>
      <w:tr>
        <w:trPr/>
        <w:tc>
          <w:tcPr>
            <w:tcW w:w="161" w:type="dxa"/>
            <w:tcBorders/>
            <w:tcMar>
              <w:top w:w="0" w:type="dxa"/>
              <w:left w:w="0" w:type="dxa"/>
              <w:bottom w:w="0" w:type="dxa"/>
              <w:right w:w="0" w:type="dxa"/>
            </w:tcMar>
            <w:vAlign w:val="center"/>
          </w:tcPr>
          <w:p>
            <w:pPr>
              <w:pStyle w:val="TableContents"/>
              <w:bidi w:val="0"/>
              <w:spacing w:before="40" w:after="40"/>
              <w:jc w:val="left"/>
              <w:rPr/>
            </w:pPr>
            <w:r>
              <w:rPr/>
              <w:t> </w:t>
            </w:r>
          </w:p>
        </w:tc>
        <w:tc>
          <w:tcPr>
            <w:tcW w:w="496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b/>
                <w:color w:val="000000"/>
                <w:sz w:val="16"/>
              </w:rPr>
            </w:pPr>
            <w:r>
              <w:rPr>
                <w:rFonts w:ascii="Times New Roman" w:hAnsi="Times New Roman"/>
                <w:b/>
                <w:color w:val="000000"/>
                <w:sz w:val="16"/>
              </w:rPr>
              <w:t>Melissa Orilall</w:t>
            </w:r>
          </w:p>
        </w:tc>
      </w:tr>
      <w:tr>
        <w:trPr/>
        <w:tc>
          <w:tcPr>
            <w:tcW w:w="161" w:type="dxa"/>
            <w:tcBorders/>
            <w:tcMar>
              <w:top w:w="0" w:type="dxa"/>
              <w:left w:w="0" w:type="dxa"/>
              <w:bottom w:w="0" w:type="dxa"/>
              <w:right w:w="0" w:type="dxa"/>
            </w:tcMar>
            <w:vAlign w:val="center"/>
          </w:tcPr>
          <w:p>
            <w:pPr>
              <w:pStyle w:val="TableContents"/>
              <w:bidi w:val="0"/>
              <w:spacing w:before="40" w:after="40"/>
              <w:jc w:val="left"/>
              <w:rPr/>
            </w:pPr>
            <w:r>
              <w:rPr/>
              <w:t> </w:t>
            </w:r>
          </w:p>
        </w:tc>
        <w:tc>
          <w:tcPr>
            <w:tcW w:w="496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b/>
                <w:color w:val="000000"/>
                <w:sz w:val="16"/>
              </w:rPr>
            </w:pPr>
            <w:r>
              <w:rPr>
                <w:rFonts w:ascii="Times New Roman" w:hAnsi="Times New Roman"/>
                <w:b/>
                <w:color w:val="000000"/>
                <w:sz w:val="16"/>
              </w:rPr>
              <w:t>Principal Financial Officer</w:t>
            </w:r>
          </w:p>
        </w:tc>
      </w:tr>
    </w:tbl>
    <w:p>
      <w:pPr>
        <w:pStyle w:val="TextBody"/>
        <w:bidi w:val="0"/>
        <w:spacing w:before="180" w:after="283"/>
        <w:jc w:val="left"/>
        <w:rPr>
          <w:rFonts w:ascii="Times New Roman" w:hAnsi="Times New Roman"/>
          <w:color w:val="000000"/>
          <w:sz w:val="20"/>
        </w:rPr>
      </w:pPr>
      <w:r>
        <w:rPr>
          <w:rFonts w:ascii="Times New Roman" w:hAnsi="Times New Roman"/>
          <w:color w:val="000000"/>
          <w:sz w:val="20"/>
        </w:rPr>
        <w:t>Date: May 15, 2026</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foregoing certification is being furnished to the Securities and Exchange Commission as an exhibit to the Report and should not be considered filed as part of the Report.</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11413</Words>
  <Characters>65334</Characters>
  <CharactersWithSpaces>77193</CharactersWithSpaces>
  <Paragraphs>2357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