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0"/>
        </w:rPr>
      </w:pPr>
      <w:bookmarkStart w:id="0" w:name="d154252ds8.htm"/>
      <w:bookmarkStart w:id="1" w:name="ksd154252ds8"/>
      <w:bookmarkEnd w:id="0"/>
      <w:bookmarkEnd w:id="1"/>
      <w:r>
        <w:rPr>
          <w:rFonts w:ascii="Times New Roman" w:hAnsi="Times New Roman"/>
          <w:b/>
          <w:sz w:val="20"/>
        </w:rPr>
        <w:t xml:space="preserve">As filed with the Securities and Exchange Commission on August 13,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MiNK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82-2142067</w:t>
            </w:r>
          </w:p>
        </w:tc>
      </w:tr>
      <w:tr>
        <w:trPr/>
        <w:tc>
          <w:tcPr>
            <w:tcW w:w="5153"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149 Fifth Avenue, Suite 500,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bidi w:val="0"/>
        <w:spacing w:before="240" w:after="0"/>
        <w:jc w:val="center"/>
        <w:rPr>
          <w:rFonts w:ascii="Times New Roman" w:hAnsi="Times New Roman"/>
          <w:b/>
          <w:sz w:val="20"/>
        </w:rPr>
      </w:pPr>
      <w:r>
        <w:rPr>
          <w:rFonts w:ascii="Times New Roman" w:hAnsi="Times New Roman"/>
          <w:b/>
          <w:sz w:val="20"/>
        </w:rPr>
        <w:t xml:space="preserve">MiNK Therapeutics, Inc. 2021 Equity Incentive Plan </w:t>
      </w:r>
    </w:p>
    <w:p>
      <w:pPr>
        <w:pStyle w:val="TextBody"/>
        <w:bidi w:val="0"/>
        <w:spacing w:before="0" w:after="0"/>
        <w:jc w:val="center"/>
        <w:rPr>
          <w:rFonts w:ascii="Times New Roman" w:hAnsi="Times New Roman"/>
          <w:b/>
          <w:sz w:val="20"/>
        </w:rPr>
      </w:pPr>
      <w:r>
        <w:rPr>
          <w:rFonts w:ascii="Times New Roman" w:hAnsi="Times New Roman"/>
          <w:b/>
          <w:sz w:val="20"/>
        </w:rPr>
        <w:t xml:space="preserve">MiNK Therapeutics, Inc. 2021 Employee Stock Purchase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bidi w:val="0"/>
        <w:spacing w:before="240" w:after="0"/>
        <w:jc w:val="center"/>
        <w:rPr>
          <w:rFonts w:ascii="Times New Roman" w:hAnsi="Times New Roman"/>
          <w:b/>
          <w:sz w:val="20"/>
        </w:rPr>
      </w:pPr>
      <w:r>
        <w:rPr>
          <w:rFonts w:ascii="Times New Roman" w:hAnsi="Times New Roman"/>
          <w:b/>
          <w:sz w:val="20"/>
        </w:rPr>
        <w:t xml:space="preserve">Jennifer S. Buell, Ph.D.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Chief Executive Officer and Director </w:t>
      </w:r>
    </w:p>
    <w:p>
      <w:pPr>
        <w:pStyle w:val="TextBody"/>
        <w:bidi w:val="0"/>
        <w:spacing w:before="0" w:after="0"/>
        <w:jc w:val="center"/>
        <w:rPr>
          <w:rFonts w:ascii="Times New Roman" w:hAnsi="Times New Roman"/>
          <w:b/>
          <w:sz w:val="20"/>
        </w:rPr>
      </w:pPr>
      <w:r>
        <w:rPr>
          <w:rFonts w:ascii="Times New Roman" w:hAnsi="Times New Roman"/>
          <w:b/>
          <w:sz w:val="20"/>
        </w:rPr>
        <w:t xml:space="preserve">MiNK Therapeutics, Inc. </w:t>
      </w:r>
    </w:p>
    <w:p>
      <w:pPr>
        <w:pStyle w:val="TextBody"/>
        <w:bidi w:val="0"/>
        <w:spacing w:before="0" w:after="0"/>
        <w:jc w:val="center"/>
        <w:rPr>
          <w:rFonts w:ascii="Times New Roman" w:hAnsi="Times New Roman"/>
          <w:b/>
          <w:sz w:val="20"/>
        </w:rPr>
      </w:pPr>
      <w:r>
        <w:rPr>
          <w:rFonts w:ascii="Times New Roman" w:hAnsi="Times New Roman"/>
          <w:b/>
          <w:sz w:val="20"/>
        </w:rPr>
        <w:t xml:space="preserve">149 Fifth Avenue, Suite 500 </w:t>
      </w:r>
    </w:p>
    <w:p>
      <w:pPr>
        <w:pStyle w:val="TextBody"/>
        <w:bidi w:val="0"/>
        <w:spacing w:before="0" w:after="0"/>
        <w:jc w:val="center"/>
        <w:rPr>
          <w:rFonts w:ascii="Times New Roman" w:hAnsi="Times New Roman"/>
          <w:b/>
          <w:sz w:val="20"/>
        </w:rPr>
      </w:pPr>
      <w:r>
        <w:rPr>
          <w:rFonts w:ascii="Times New Roman" w:hAnsi="Times New Roman"/>
          <w:b/>
          <w:sz w:val="20"/>
        </w:rPr>
        <w:t xml:space="preserve">New York, NY 10010 </w:t>
      </w:r>
    </w:p>
    <w:p>
      <w:pPr>
        <w:pStyle w:val="TextBody"/>
        <w:bidi w:val="0"/>
        <w:spacing w:before="0" w:after="0"/>
        <w:jc w:val="center"/>
        <w:rPr>
          <w:rFonts w:ascii="Times New Roman" w:hAnsi="Times New Roman"/>
          <w:b/>
          <w:sz w:val="16"/>
        </w:rPr>
      </w:pPr>
      <w:r>
        <w:rPr>
          <w:rFonts w:ascii="Times New Roman" w:hAnsi="Times New Roman"/>
          <w:b/>
          <w:sz w:val="16"/>
        </w:rPr>
        <w:t xml:space="preserve">(Name and address of agent for service) </w:t>
      </w:r>
    </w:p>
    <w:p>
      <w:pPr>
        <w:pStyle w:val="TextBody"/>
        <w:bidi w:val="0"/>
        <w:spacing w:before="240" w:after="0"/>
        <w:jc w:val="center"/>
        <w:rPr>
          <w:rFonts w:ascii="Times New Roman" w:hAnsi="Times New Roman"/>
          <w:b/>
          <w:sz w:val="20"/>
        </w:rPr>
      </w:pPr>
      <w:r>
        <w:rPr>
          <w:rFonts w:ascii="Times New Roman" w:hAnsi="Times New Roman"/>
          <w:b/>
          <w:sz w:val="20"/>
        </w:rPr>
        <w:t xml:space="preserve">(212) 994-8250 </w:t>
      </w:r>
    </w:p>
    <w:p>
      <w:pPr>
        <w:pStyle w:val="TextBody"/>
        <w:bidi w:val="0"/>
        <w:spacing w:before="0" w:after="0"/>
        <w:jc w:val="center"/>
        <w:rPr>
          <w:rFonts w:ascii="Times New Roman" w:hAnsi="Times New Roman"/>
          <w:b/>
          <w:sz w:val="16"/>
        </w:rPr>
      </w:pPr>
      <w:r>
        <w:rPr>
          <w:rFonts w:ascii="Times New Roman" w:hAnsi="Times New Roman"/>
          <w:b/>
          <w:sz w:val="16"/>
        </w:rPr>
        <w:t xml:space="preserve">(Telephone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Please send a copy of all communications to: </w:t>
      </w:r>
    </w:p>
    <w:p>
      <w:pPr>
        <w:pStyle w:val="TextBody"/>
        <w:bidi w:val="0"/>
        <w:spacing w:before="240" w:after="0"/>
        <w:jc w:val="center"/>
        <w:rPr>
          <w:rFonts w:ascii="Times New Roman" w:hAnsi="Times New Roman"/>
          <w:b/>
          <w:sz w:val="20"/>
        </w:rPr>
      </w:pPr>
      <w:r>
        <w:rPr>
          <w:rFonts w:ascii="Times New Roman" w:hAnsi="Times New Roman"/>
          <w:b/>
          <w:sz w:val="20"/>
        </w:rPr>
        <w:t xml:space="preserve">Wesley Holmes, Esq. </w:t>
      </w:r>
    </w:p>
    <w:p>
      <w:pPr>
        <w:pStyle w:val="TextBody"/>
        <w:bidi w:val="0"/>
        <w:spacing w:before="0" w:after="0"/>
        <w:jc w:val="center"/>
        <w:rPr>
          <w:rFonts w:ascii="Times New Roman" w:hAnsi="Times New Roman"/>
          <w:b/>
          <w:sz w:val="20"/>
        </w:rPr>
      </w:pPr>
      <w:r>
        <w:rPr>
          <w:rFonts w:ascii="Times New Roman" w:hAnsi="Times New Roman"/>
          <w:b/>
          <w:sz w:val="20"/>
        </w:rPr>
        <w:t xml:space="preserve">Latham &amp; Watkins LLP </w:t>
      </w:r>
    </w:p>
    <w:p>
      <w:pPr>
        <w:pStyle w:val="TextBody"/>
        <w:bidi w:val="0"/>
        <w:spacing w:before="0" w:after="0"/>
        <w:jc w:val="center"/>
        <w:rPr>
          <w:rFonts w:ascii="Times New Roman" w:hAnsi="Times New Roman"/>
          <w:b/>
          <w:sz w:val="20"/>
        </w:rPr>
      </w:pPr>
      <w:r>
        <w:rPr>
          <w:rFonts w:ascii="Times New Roman" w:hAnsi="Times New Roman"/>
          <w:b/>
          <w:sz w:val="20"/>
        </w:rPr>
        <w:t xml:space="preserve">200 Clarendon Street </w:t>
      </w:r>
    </w:p>
    <w:p>
      <w:pPr>
        <w:pStyle w:val="TextBody"/>
        <w:bidi w:val="0"/>
        <w:spacing w:before="0" w:after="0"/>
        <w:jc w:val="center"/>
        <w:rPr>
          <w:rFonts w:ascii="Times New Roman" w:hAnsi="Times New Roman"/>
          <w:b/>
          <w:sz w:val="20"/>
        </w:rPr>
      </w:pPr>
      <w:r>
        <w:rPr>
          <w:rFonts w:ascii="Times New Roman" w:hAnsi="Times New Roman"/>
          <w:b/>
          <w:sz w:val="20"/>
        </w:rPr>
        <w:t xml:space="preserve">Boston, MA 02116 </w:t>
      </w:r>
    </w:p>
    <w:p>
      <w:pPr>
        <w:pStyle w:val="TextBody"/>
        <w:bidi w:val="0"/>
        <w:spacing w:before="0" w:after="0"/>
        <w:jc w:val="center"/>
        <w:rPr>
          <w:rFonts w:ascii="Times New Roman" w:hAnsi="Times New Roman"/>
          <w:b/>
          <w:sz w:val="20"/>
        </w:rPr>
      </w:pPr>
      <w:r>
        <w:rPr>
          <w:rFonts w:ascii="Times New Roman" w:hAnsi="Times New Roman"/>
          <w:b/>
          <w:sz w:val="20"/>
        </w:rPr>
        <w:t xml:space="preserve">(617) 948-6060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(the “Registration Statement”) is being filed with the Securities and Exchange Commission (the “Commission”) for the purpose of registering (i) an additional 188,249 shares of common stock, par value $0.00001 per share (the “Common Stock”), of MiNK Therapeutics, Inc. (the “Registrant”) that have been automatically added to the number of shares of Common Stock authorized for issuance under the 2021 Equity Incentive Plan (the “2021 EIP”), and (ii) an additional 47,062 shares of Common Stock that have been automatically added to the number of shares of Common Stock authorized for issuance under the 2021 Employee Stock Purchase Plan of the Registrant (the “ESPP”), in each case pursuant to an “evergreen” provision, which allows for an annual increase in the number of shares of the Registrant’s common stock authorized for issuance thereunder. The additional shares registered pursuant to the 2021 EIP and the ESPP are of the same class as other securities relating to the 2021 EIP and the ESPP for which a Registration Statement on Form S-8 (File Nos. 333-289606, 333-281519, 333-273906 and 333-266170, filed with the Commission on August 14, 2025, August 13, 2024, August 11, 2023 and July 15, 2022 by the Registrant, respectively, relating to the 2021 EIP and the ESPP), is effective. </w:t>
      </w:r>
    </w:p>
    <w:p>
      <w:pPr>
        <w:pStyle w:val="TextBody"/>
        <w:bidi w:val="0"/>
        <w:spacing w:before="240" w:after="0"/>
        <w:jc w:val="left"/>
        <w:rPr>
          <w:rFonts w:ascii="Times New Roman" w:hAnsi="Times New Roman"/>
          <w:sz w:val="20"/>
        </w:rPr>
      </w:pPr>
      <w:r>
        <w:rPr>
          <w:rFonts w:ascii="Times New Roman" w:hAnsi="Times New Roman"/>
          <w:sz w:val="20"/>
        </w:rPr>
        <w:t xml:space="preserve">This filing does not relate to a capital-raising transaction, a public offering, or current issuance of any shares. Any shares covered by this Registration Statement may be delivered only in connection with awards or purchases made under these plans in accordance with their terms. </w:t>
      </w:r>
    </w:p>
    <w:p>
      <w:pPr>
        <w:pStyle w:val="TextBody"/>
        <w:bidi w:val="0"/>
        <w:spacing w:before="240" w:after="0"/>
        <w:jc w:val="left"/>
        <w:rPr>
          <w:rFonts w:ascii="Times New Roman" w:hAnsi="Times New Roman"/>
          <w:sz w:val="20"/>
        </w:rPr>
      </w:pPr>
      <w:r>
        <w:rPr>
          <w:rFonts w:ascii="Times New Roman" w:hAnsi="Times New Roman"/>
          <w:sz w:val="20"/>
        </w:rPr>
        <w:t xml:space="preserve">Pursuant to General Instruction E to Form S-8, this Registration Statement incorporates by reference the contents of the above-referenced prior registration statements on Form S-8 and any amendments thereto, to the extent not modified or superseded hereby or by any subsequently filed document (File Nos. 333-289606, 333-281519, 333-273906 and 333-266170).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2"/>
        <w:gridCol w:w="416"/>
        <w:gridCol w:w="9007"/>
      </w:tblGrid>
      <w:tr>
        <w:trPr/>
        <w:tc>
          <w:tcPr>
            <w:tcW w:w="782" w:type="dxa"/>
            <w:tcBorders/>
            <w:vAlign w:val="center"/>
          </w:tcPr>
          <w:p>
            <w:pPr>
              <w:pStyle w:val="TableContents"/>
              <w:bidi w:val="0"/>
              <w:spacing w:before="0" w:after="283"/>
              <w:jc w:val="left"/>
              <w:rPr>
                <w:sz w:val="4"/>
                <w:szCs w:val="4"/>
              </w:rPr>
            </w:pPr>
            <w:r>
              <w:rPr>
                <w:sz w:val="4"/>
                <w:szCs w:val="4"/>
              </w:rPr>
            </w:r>
          </w:p>
        </w:tc>
        <w:tc>
          <w:tcPr>
            <w:tcW w:w="416" w:type="dxa"/>
            <w:tcBorders/>
            <w:vAlign w:val="bottom"/>
          </w:tcPr>
          <w:p>
            <w:pPr>
              <w:pStyle w:val="TableContents"/>
              <w:bidi w:val="0"/>
              <w:spacing w:before="0" w:after="283"/>
              <w:jc w:val="left"/>
              <w:rPr>
                <w:sz w:val="4"/>
                <w:szCs w:val="4"/>
              </w:rPr>
            </w:pPr>
            <w:r>
              <w:rPr>
                <w:sz w:val="4"/>
                <w:szCs w:val="4"/>
              </w:rPr>
            </w:r>
          </w:p>
        </w:tc>
        <w:tc>
          <w:tcPr>
            <w:tcW w:w="9007" w:type="dxa"/>
            <w:tcBorders/>
            <w:vAlign w:val="center"/>
          </w:tcPr>
          <w:p>
            <w:pPr>
              <w:pStyle w:val="TableContents"/>
              <w:bidi w:val="0"/>
              <w:spacing w:before="0" w:after="283"/>
              <w:jc w:val="left"/>
              <w:rPr>
                <w:sz w:val="4"/>
                <w:szCs w:val="4"/>
              </w:rPr>
            </w:pPr>
            <w:r>
              <w:rPr>
                <w:sz w:val="4"/>
                <w:szCs w:val="4"/>
              </w:rPr>
            </w:r>
          </w:p>
        </w:tc>
      </w:tr>
      <w:tr>
        <w:trPr/>
        <w:tc>
          <w:tcPr>
            <w:tcW w:w="782" w:type="dxa"/>
            <w:tcBorders/>
            <w:vAlign w:val="bottom"/>
          </w:tcPr>
          <w:p>
            <w:pPr>
              <w:pStyle w:val="TableContents"/>
              <w:bidi w:val="0"/>
              <w:spacing w:before="0" w:after="283"/>
              <w:jc w:val="left"/>
              <w:rPr>
                <w:b/>
              </w:rPr>
            </w:pPr>
            <w:r>
              <w:rPr>
                <w:b/>
              </w:rPr>
              <w:t>Exhibit</w:t>
            </w:r>
          </w:p>
        </w:tc>
        <w:tc>
          <w:tcPr>
            <w:tcW w:w="416" w:type="dxa"/>
            <w:tcBorders/>
            <w:vAlign w:val="bottom"/>
          </w:tcPr>
          <w:p>
            <w:pPr>
              <w:pStyle w:val="TableContents"/>
              <w:bidi w:val="0"/>
              <w:spacing w:before="0" w:after="283"/>
              <w:jc w:val="left"/>
              <w:rPr/>
            </w:pPr>
            <w:r>
              <w:rPr/>
              <w:t>  </w:t>
            </w:r>
          </w:p>
        </w:tc>
        <w:tc>
          <w:tcPr>
            <w:tcW w:w="9007" w:type="dxa"/>
            <w:tcBorders/>
            <w:vAlign w:val="bottom"/>
          </w:tcPr>
          <w:p>
            <w:pPr>
              <w:pStyle w:val="TableContents"/>
              <w:bidi w:val="0"/>
              <w:spacing w:before="0" w:after="283"/>
              <w:jc w:val="left"/>
              <w:rPr/>
            </w:pPr>
            <w:r>
              <w:rPr/>
              <w:t> </w:t>
            </w:r>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 </w:t>
            </w:r>
            <w:r>
              <w:rPr/>
              <w:t>4.1</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r:id="rId2">
              <w:r>
                <w:rPr>
                  <w:rStyle w:val="InternetLink"/>
                </w:rPr>
                <w:t xml:space="preserve">Amended and Restated Certificate of Incorporation (previously filed as Exhibit 3.1 to the Registrant’s Current Report on Form 8-K filed with the SEC on October 20, 2021 and incorporated herein by reference).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 </w:t>
            </w:r>
            <w:r>
              <w:rPr/>
              <w:t>4.2</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r:id="rId3">
              <w:r>
                <w:rPr>
                  <w:rStyle w:val="InternetLink"/>
                </w:rPr>
                <w:t xml:space="preserve">Certificate of Amendment to the Amended and Restated Certificate of Incorporation (previously filed as Exhibit 3.1 to the Registrant’s Current Report on Form 8-K filed with the SEC on January 21, 2025 and incorporated herein by reference).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 </w:t>
            </w:r>
            <w:r>
              <w:rPr/>
              <w:t>4.3</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r:id="rId4">
              <w:r>
                <w:rPr>
                  <w:rStyle w:val="InternetLink"/>
                </w:rPr>
                <w:t xml:space="preserve">Amended and Restated Bylaws (previously filed as Exhibit 3.2 to the Registrant’s Current Report on Form 8-K filed with the SEC on October 20, 2021 and incorporated herein by reference).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 </w:t>
            </w:r>
            <w:r>
              <w:rPr/>
              <w:t>4.4</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r:id="rId5">
              <w:r>
                <w:rPr>
                  <w:rStyle w:val="InternetLink"/>
                </w:rPr>
                <w:t xml:space="preserve">MiNK Therapeutics, Inc. 2021 Equity Incentive Plan (previously filed as Exhibit 10.6 to the registration statement on Form S-1/A filed on October 12, 2021 (File No. 333-259503) and incorporated herein by reference).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 </w:t>
            </w:r>
            <w:r>
              <w:rPr/>
              <w:t>4.5</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r:id="rId6">
              <w:r>
                <w:rPr>
                  <w:rStyle w:val="InternetLink"/>
                </w:rPr>
                <w:t>MiNK Therapeutics, Inc. 2021 Employee Stock Purchase Plan (previously filed as Exhibit 10.7 to the registration statement on Form S-1/A filed on October 12, 2021 (File No. 333-259503) and incorporated herein by reference).</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 </w:t>
            </w:r>
            <w:r>
              <w:rPr/>
              <w:t>5.1</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w:anchor="d154252dex51.htm">
              <w:r>
                <w:rPr>
                  <w:rStyle w:val="InternetLink"/>
                </w:rPr>
                <w:t xml:space="preserve">Opinion of Latham &amp; Watkins LLP, counsel to the Registrant*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23.1</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w:anchor="d154252dex231.htm">
              <w:r>
                <w:rPr>
                  <w:rStyle w:val="InternetLink"/>
                </w:rPr>
                <w:t xml:space="preserve">Consent of KPMG LLP*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23.2</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w:anchor="d154252dex51.htm">
              <w:r>
                <w:rPr>
                  <w:rStyle w:val="InternetLink"/>
                </w:rPr>
                <w:t>Consent of Latham &amp; Watkins LLP (included in the opinion filed as Exhibit 5.1)*</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24.1</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w:anchor="sig">
              <w:r>
                <w:rPr>
                  <w:rStyle w:val="InternetLink"/>
                </w:rPr>
                <w:t xml:space="preserve">Powers of Attorney (included on the signature page in Part II)* </w:t>
              </w:r>
            </w:hyperlink>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pPr>
            <w:r>
              <w:rPr/>
              <w:t>107</w:t>
            </w:r>
          </w:p>
        </w:tc>
        <w:tc>
          <w:tcPr>
            <w:tcW w:w="416" w:type="dxa"/>
            <w:tcBorders/>
            <w:vAlign w:val="bottom"/>
          </w:tcPr>
          <w:p>
            <w:pPr>
              <w:pStyle w:val="TableContents"/>
              <w:bidi w:val="0"/>
              <w:spacing w:before="0" w:after="283"/>
              <w:jc w:val="left"/>
              <w:rPr/>
            </w:pPr>
            <w:r>
              <w:rPr/>
              <w:t>  </w:t>
            </w:r>
          </w:p>
        </w:tc>
        <w:tc>
          <w:tcPr>
            <w:tcW w:w="9007" w:type="dxa"/>
            <w:tcBorders/>
          </w:tcPr>
          <w:p>
            <w:pPr>
              <w:pStyle w:val="TableContents"/>
              <w:bidi w:val="0"/>
              <w:spacing w:before="0" w:after="283"/>
              <w:jc w:val="left"/>
              <w:rPr/>
            </w:pPr>
            <w:hyperlink w:anchor="d154252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bookmarkStart w:id="2" w:name="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New York, NY, on this 13 day of August,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9"/>
        <w:gridCol w:w="60"/>
        <w:gridCol w:w="3663"/>
      </w:tblGrid>
      <w:tr>
        <w:trPr/>
        <w:tc>
          <w:tcPr>
            <w:tcW w:w="35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b/>
              </w:rPr>
            </w:pPr>
            <w:r>
              <w:rPr>
                <w:b/>
              </w:rPr>
              <w:t>MINK THERAPEUTICS, INC.</w:t>
            </w:r>
          </w:p>
        </w:tc>
      </w:tr>
      <w:tr>
        <w:trPr>
          <w:trHeight w:val="24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283"/>
              <w:jc w:val="left"/>
              <w:rPr/>
            </w:pPr>
            <w:r>
              <w:rPr/>
              <w:t>/s/ Jennifer S. Buell, Ph.D.</w:t>
            </w:r>
          </w:p>
        </w:tc>
      </w:tr>
      <w:tr>
        <w:trPr>
          <w:trHeight w:val="120" w:hRule="atLeast"/>
        </w:trPr>
        <w:tc>
          <w:tcPr>
            <w:tcW w:w="359" w:type="dxa"/>
            <w:tcBorders/>
            <w:vAlign w:val="center"/>
          </w:tcPr>
          <w:p>
            <w:pPr>
              <w:pStyle w:val="TableContents"/>
              <w:bidi w:val="0"/>
              <w:spacing w:before="0" w:after="283"/>
              <w:jc w:val="left"/>
              <w:rPr>
                <w:sz w:val="4"/>
                <w:szCs w:val="4"/>
              </w:rPr>
            </w:pPr>
            <w:r>
              <w:rPr>
                <w:sz w:val="4"/>
                <w:szCs w:val="4"/>
              </w:rPr>
            </w:r>
          </w:p>
        </w:tc>
        <w:tc>
          <w:tcPr>
            <w:tcW w:w="3723" w:type="dxa"/>
            <w:gridSpan w:val="2"/>
            <w:tcBorders/>
            <w:vAlign w:val="center"/>
          </w:tcPr>
          <w:p>
            <w:pPr>
              <w:pStyle w:val="TableContents"/>
              <w:bidi w:val="0"/>
              <w:spacing w:before="0" w:after="283"/>
              <w:jc w:val="left"/>
              <w:rPr>
                <w:sz w:val="4"/>
                <w:szCs w:val="4"/>
              </w:rPr>
            </w:pPr>
            <w:r>
              <w:rPr>
                <w:sz w:val="4"/>
                <w:szCs w:val="4"/>
              </w:rPr>
            </w:r>
          </w:p>
        </w:tc>
      </w:tr>
      <w:tr>
        <w:trPr/>
        <w:tc>
          <w:tcPr>
            <w:tcW w:w="359"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63" w:type="dxa"/>
            <w:tcBorders/>
          </w:tcPr>
          <w:p>
            <w:pPr>
              <w:pStyle w:val="TableContents"/>
              <w:bidi w:val="0"/>
              <w:spacing w:before="0" w:after="0"/>
              <w:jc w:val="left"/>
              <w:rPr>
                <w:rFonts w:ascii="Times New Roman" w:hAnsi="Times New Roman"/>
                <w:sz w:val="20"/>
              </w:rPr>
            </w:pPr>
            <w:r>
              <w:rPr>
                <w:rFonts w:ascii="Times New Roman" w:hAnsi="Times New Roman"/>
                <w:sz w:val="20"/>
              </w:rPr>
              <w:t>Name: Jennifer S. Buell, Ph.D.</w:t>
            </w:r>
          </w:p>
          <w:p>
            <w:pPr>
              <w:pStyle w:val="TableContents"/>
              <w:bidi w:val="0"/>
              <w:spacing w:before="0" w:after="20"/>
              <w:jc w:val="left"/>
              <w:rPr>
                <w:rFonts w:ascii="Times New Roman" w:hAnsi="Times New Roman"/>
                <w:sz w:val="20"/>
              </w:rPr>
            </w:pPr>
            <w:r>
              <w:rPr>
                <w:rFonts w:ascii="Times New Roman" w:hAnsi="Times New Roman"/>
                <w:sz w:val="20"/>
              </w:rPr>
              <w:t>Title: 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Jennifer S. Buell, Ph.D. and Melissa Orilall, and each of them singly, with full power to act without the other, his or her true and lawful attorneys-in-fact and agents with full power of substitution and resubstitution, for him or her and in his or her name, place and stead, in any and all capacities, to sign this Registration Statement on Form S-8 and any and all amendments (including post-effective amendments) thereto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and each of them, or their substitutes, may lawfully do or cause to be done by virtue hereof. </w:t>
      </w:r>
    </w:p>
    <w:p>
      <w:pPr>
        <w:pStyle w:val="TextBody"/>
        <w:bidi w:val="0"/>
        <w:spacing w:before="240" w:after="0"/>
        <w:jc w:val="center"/>
        <w:rPr>
          <w:rFonts w:ascii="Times New Roman" w:hAnsi="Times New Roman"/>
          <w:sz w:val="20"/>
        </w:rPr>
      </w:pPr>
      <w:r>
        <w:rPr>
          <w:rFonts w:ascii="Times New Roman" w:hAnsi="Times New Roman"/>
          <w:sz w:val="20"/>
        </w:rPr>
        <w:t xml:space="preserve">*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54"/>
        <w:gridCol w:w="122"/>
        <w:gridCol w:w="4329"/>
        <w:gridCol w:w="107"/>
        <w:gridCol w:w="1893"/>
      </w:tblGrid>
      <w:tr>
        <w:trPr/>
        <w:tc>
          <w:tcPr>
            <w:tcW w:w="3754"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2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93" w:type="dxa"/>
            <w:tcBorders/>
            <w:vAlign w:val="center"/>
          </w:tcPr>
          <w:p>
            <w:pPr>
              <w:pStyle w:val="TableContents"/>
              <w:bidi w:val="0"/>
              <w:spacing w:before="0" w:after="283"/>
              <w:jc w:val="left"/>
              <w:rPr>
                <w:sz w:val="4"/>
                <w:szCs w:val="4"/>
              </w:rPr>
            </w:pPr>
            <w:r>
              <w:rPr>
                <w:sz w:val="4"/>
                <w:szCs w:val="4"/>
              </w:rPr>
            </w:r>
          </w:p>
        </w:tc>
      </w:tr>
      <w:tr>
        <w:trPr/>
        <w:tc>
          <w:tcPr>
            <w:tcW w:w="3754"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32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Jennifer S. Buell, Ph.D.</w:t>
            </w:r>
          </w:p>
          <w:p>
            <w:pPr>
              <w:pStyle w:val="TableContents"/>
              <w:bidi w:val="0"/>
              <w:spacing w:before="0" w:after="20"/>
              <w:jc w:val="left"/>
              <w:rPr>
                <w:rFonts w:ascii="Times New Roman" w:hAnsi="Times New Roman"/>
                <w:sz w:val="20"/>
              </w:rPr>
            </w:pPr>
            <w:r>
              <w:rPr>
                <w:rFonts w:ascii="Times New Roman" w:hAnsi="Times New Roman"/>
                <w:sz w:val="20"/>
              </w:rPr>
              <w:t>Jennifer S. Buell, Ph.D.</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sz w:val="20"/>
              </w:rPr>
            </w:pPr>
            <w:r>
              <w:rPr>
                <w:rFonts w:ascii="Times New Roman" w:hAnsi="Times New Roman"/>
                <w:sz w:val="20"/>
              </w:rPr>
              <w:t>(Principal Executive Officer)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Melissa Orilall</w:t>
            </w:r>
          </w:p>
          <w:p>
            <w:pPr>
              <w:pStyle w:val="TableContents"/>
              <w:bidi w:val="0"/>
              <w:spacing w:before="0" w:after="20"/>
              <w:jc w:val="left"/>
              <w:rPr>
                <w:rFonts w:ascii="Times New Roman" w:hAnsi="Times New Roman"/>
                <w:sz w:val="20"/>
              </w:rPr>
            </w:pPr>
            <w:r>
              <w:rPr>
                <w:rFonts w:ascii="Times New Roman" w:hAnsi="Times New Roman"/>
                <w:sz w:val="20"/>
              </w:rPr>
              <w:t>Melissa Orilall</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Principal Financial Officer and Controller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Garo H. Armen, Ph.D.</w:t>
            </w:r>
          </w:p>
          <w:p>
            <w:pPr>
              <w:pStyle w:val="TableContents"/>
              <w:bidi w:val="0"/>
              <w:spacing w:before="0" w:after="20"/>
              <w:jc w:val="left"/>
              <w:rPr>
                <w:rFonts w:ascii="Times New Roman" w:hAnsi="Times New Roman"/>
                <w:sz w:val="20"/>
              </w:rPr>
            </w:pPr>
            <w:r>
              <w:rPr>
                <w:rFonts w:ascii="Times New Roman" w:hAnsi="Times New Roman"/>
                <w:sz w:val="20"/>
              </w:rPr>
              <w:t>Garo H. Armen, Ph.D.</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Chairman of the Board of Directors</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Peter Behner</w:t>
            </w:r>
          </w:p>
          <w:p>
            <w:pPr>
              <w:pStyle w:val="TableContents"/>
              <w:bidi w:val="0"/>
              <w:spacing w:before="0" w:after="20"/>
              <w:jc w:val="left"/>
              <w:rPr>
                <w:rFonts w:ascii="Times New Roman" w:hAnsi="Times New Roman"/>
                <w:sz w:val="20"/>
              </w:rPr>
            </w:pPr>
            <w:r>
              <w:rPr>
                <w:rFonts w:ascii="Times New Roman" w:hAnsi="Times New Roman"/>
                <w:sz w:val="20"/>
              </w:rPr>
              <w:t>Peter Behner</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Brian Corvese</w:t>
            </w:r>
          </w:p>
          <w:p>
            <w:pPr>
              <w:pStyle w:val="TableContents"/>
              <w:bidi w:val="0"/>
              <w:spacing w:before="0" w:after="20"/>
              <w:jc w:val="left"/>
              <w:rPr>
                <w:rFonts w:ascii="Times New Roman" w:hAnsi="Times New Roman"/>
                <w:sz w:val="20"/>
              </w:rPr>
            </w:pPr>
            <w:r>
              <w:rPr>
                <w:rFonts w:ascii="Times New Roman" w:hAnsi="Times New Roman"/>
                <w:sz w:val="20"/>
              </w:rPr>
              <w:t>Brian Corvese</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John Holcomb, M.D.</w:t>
            </w:r>
          </w:p>
          <w:p>
            <w:pPr>
              <w:pStyle w:val="TableContents"/>
              <w:bidi w:val="0"/>
              <w:spacing w:before="0" w:after="20"/>
              <w:jc w:val="left"/>
              <w:rPr>
                <w:rFonts w:ascii="Times New Roman" w:hAnsi="Times New Roman"/>
                <w:sz w:val="20"/>
              </w:rPr>
            </w:pPr>
            <w:r>
              <w:rPr>
                <w:rFonts w:ascii="Times New Roman" w:hAnsi="Times New Roman"/>
                <w:sz w:val="20"/>
              </w:rPr>
              <w:t>John Holcomb, M.D.</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Barbara Ryan</w:t>
            </w:r>
          </w:p>
          <w:p>
            <w:pPr>
              <w:pStyle w:val="TableContents"/>
              <w:bidi w:val="0"/>
              <w:spacing w:before="0" w:after="20"/>
              <w:jc w:val="left"/>
              <w:rPr>
                <w:rFonts w:ascii="Times New Roman" w:hAnsi="Times New Roman"/>
                <w:sz w:val="20"/>
              </w:rPr>
            </w:pPr>
            <w:r>
              <w:rPr>
                <w:rFonts w:ascii="Times New Roman" w:hAnsi="Times New Roman"/>
                <w:sz w:val="20"/>
              </w:rPr>
              <w:t>Barbara Ryan</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r>
        <w:trPr>
          <w:trHeight w:val="240" w:hRule="atLeast"/>
        </w:trPr>
        <w:tc>
          <w:tcPr>
            <w:tcW w:w="3754" w:type="dxa"/>
            <w:tcBorders/>
            <w:vAlign w:val="center"/>
          </w:tcPr>
          <w:p>
            <w:pPr>
              <w:pStyle w:val="TableContents"/>
              <w:bidi w:val="0"/>
              <w:spacing w:before="0" w:after="283"/>
              <w:jc w:val="left"/>
              <w:rPr>
                <w:sz w:val="4"/>
                <w:szCs w:val="4"/>
              </w:rPr>
            </w:pPr>
            <w:r>
              <w:rPr>
                <w:sz w:val="4"/>
                <w:szCs w:val="4"/>
              </w:rPr>
            </w:r>
          </w:p>
        </w:tc>
        <w:tc>
          <w:tcPr>
            <w:tcW w:w="4451" w:type="dxa"/>
            <w:gridSpan w:val="2"/>
            <w:tcBorders/>
            <w:vAlign w:val="center"/>
          </w:tcPr>
          <w:p>
            <w:pPr>
              <w:pStyle w:val="TableContents"/>
              <w:bidi w:val="0"/>
              <w:spacing w:before="0" w:after="283"/>
              <w:jc w:val="left"/>
              <w:rPr>
                <w:sz w:val="4"/>
                <w:szCs w:val="4"/>
              </w:rPr>
            </w:pPr>
            <w:r>
              <w:rPr>
                <w:sz w:val="4"/>
                <w:szCs w:val="4"/>
              </w:rPr>
            </w:r>
          </w:p>
        </w:tc>
        <w:tc>
          <w:tcPr>
            <w:tcW w:w="2000" w:type="dxa"/>
            <w:gridSpan w:val="2"/>
            <w:tcBorders/>
            <w:vAlign w:val="center"/>
          </w:tcPr>
          <w:p>
            <w:pPr>
              <w:pStyle w:val="TableContents"/>
              <w:bidi w:val="0"/>
              <w:spacing w:before="0" w:after="283"/>
              <w:jc w:val="left"/>
              <w:rPr>
                <w:sz w:val="4"/>
                <w:szCs w:val="4"/>
              </w:rPr>
            </w:pPr>
            <w:r>
              <w:rPr>
                <w:sz w:val="4"/>
                <w:szCs w:val="4"/>
              </w:rPr>
            </w:r>
          </w:p>
        </w:tc>
      </w:tr>
      <w:tr>
        <w:trPr/>
        <w:tc>
          <w:tcPr>
            <w:tcW w:w="3754" w:type="dxa"/>
            <w:tcBorders/>
          </w:tcPr>
          <w:p>
            <w:pPr>
              <w:pStyle w:val="TableContents"/>
              <w:bidi w:val="0"/>
              <w:spacing w:before="0" w:after="0"/>
              <w:jc w:val="left"/>
              <w:rPr>
                <w:rFonts w:ascii="Times New Roman" w:hAnsi="Times New Roman"/>
                <w:sz w:val="20"/>
              </w:rPr>
            </w:pPr>
            <w:r>
              <w:rPr>
                <w:rFonts w:ascii="Times New Roman" w:hAnsi="Times New Roman"/>
                <w:sz w:val="20"/>
              </w:rPr>
              <w:t>/s/ Ulf Wiinberg</w:t>
            </w:r>
          </w:p>
          <w:p>
            <w:pPr>
              <w:pStyle w:val="TableContents"/>
              <w:bidi w:val="0"/>
              <w:spacing w:before="0" w:after="20"/>
              <w:jc w:val="left"/>
              <w:rPr>
                <w:rFonts w:ascii="Times New Roman" w:hAnsi="Times New Roman"/>
                <w:sz w:val="20"/>
              </w:rPr>
            </w:pPr>
            <w:r>
              <w:rPr>
                <w:rFonts w:ascii="Times New Roman" w:hAnsi="Times New Roman"/>
                <w:sz w:val="20"/>
              </w:rPr>
              <w:t>Ulf Wiinberg</w:t>
            </w:r>
          </w:p>
        </w:tc>
        <w:tc>
          <w:tcPr>
            <w:tcW w:w="122" w:type="dxa"/>
            <w:tcBorders/>
            <w:vAlign w:val="bottom"/>
          </w:tcPr>
          <w:p>
            <w:pPr>
              <w:pStyle w:val="TableContents"/>
              <w:bidi w:val="0"/>
              <w:spacing w:before="0" w:after="283"/>
              <w:jc w:val="left"/>
              <w:rPr/>
            </w:pPr>
            <w:r>
              <w:rPr/>
              <w:t>  </w:t>
            </w:r>
          </w:p>
        </w:tc>
        <w:tc>
          <w:tcPr>
            <w:tcW w:w="4329" w:type="dxa"/>
            <w:tcBorders/>
          </w:tcPr>
          <w:p>
            <w:pPr>
              <w:pStyle w:val="TableContents"/>
              <w:bidi w:val="0"/>
              <w:spacing w:before="0" w:after="0"/>
              <w:jc w:val="left"/>
              <w:rPr>
                <w:rFonts w:ascii="Times New Roman" w:hAnsi="Times New Roman"/>
                <w:sz w:val="20"/>
              </w:rPr>
            </w:pPr>
            <w:r>
              <w:rPr>
                <w:rFonts w:ascii="Times New Roman" w:hAnsi="Times New Roman"/>
                <w:sz w:val="20"/>
              </w:rPr>
              <w:t>Director</w:t>
            </w:r>
          </w:p>
        </w:tc>
        <w:tc>
          <w:tcPr>
            <w:tcW w:w="107" w:type="dxa"/>
            <w:tcBorders/>
            <w:vAlign w:val="bottom"/>
          </w:tcPr>
          <w:p>
            <w:pPr>
              <w:pStyle w:val="TableContents"/>
              <w:bidi w:val="0"/>
              <w:spacing w:before="0" w:after="283"/>
              <w:jc w:val="left"/>
              <w:rPr/>
            </w:pPr>
            <w:r>
              <w:rPr/>
              <w:t> </w:t>
            </w:r>
          </w:p>
        </w:tc>
        <w:tc>
          <w:tcPr>
            <w:tcW w:w="1893" w:type="dxa"/>
            <w:tcBorders/>
          </w:tcPr>
          <w:p>
            <w:pPr>
              <w:pStyle w:val="TableContents"/>
              <w:bidi w:val="0"/>
              <w:spacing w:before="0" w:after="283"/>
              <w:jc w:val="center"/>
              <w:rPr/>
            </w:pPr>
            <w:r>
              <w:rPr/>
              <w:t>August 13, 2026</w:t>
            </w:r>
          </w:p>
        </w:tc>
      </w:tr>
    </w:tbl>
    <w:p>
      <w:pPr>
        <w:pStyle w:val="TextBody"/>
        <w:bidi w:val="0"/>
        <w:spacing w:before="0" w:after="0"/>
        <w:jc w:val="right"/>
        <w:rPr>
          <w:rFonts w:ascii="Times New Roman" w:hAnsi="Times New Roman"/>
          <w:b/>
          <w:sz w:val="20"/>
        </w:rPr>
      </w:pPr>
      <w:bookmarkStart w:id="3" w:name="d154252dex51.htm"/>
      <w:bookmarkStart w:id="4" w:name="ksd154252dex51"/>
      <w:bookmarkEnd w:id="3"/>
      <w:bookmarkEnd w:id="4"/>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660"/>
        <w:gridCol w:w="120"/>
        <w:gridCol w:w="1310"/>
        <w:gridCol w:w="120"/>
        <w:gridCol w:w="1995"/>
      </w:tblGrid>
      <w:tr>
        <w:trPr/>
        <w:tc>
          <w:tcPr>
            <w:tcW w:w="66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95" w:type="dxa"/>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25" w:type="dxa"/>
            <w:gridSpan w:val="3"/>
            <w:tcBorders/>
          </w:tcPr>
          <w:p>
            <w:pPr>
              <w:pStyle w:val="TableContents"/>
              <w:bidi w:val="0"/>
              <w:spacing w:before="0" w:after="283"/>
              <w:jc w:val="left"/>
              <w:rPr/>
            </w:pPr>
            <w:r>
              <w:rPr/>
              <w:t>200 Clarendon Street</w:t>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25" w:type="dxa"/>
            <w:gridSpan w:val="3"/>
            <w:tcBorders/>
          </w:tcPr>
          <w:p>
            <w:pPr>
              <w:pStyle w:val="TableContents"/>
              <w:bidi w:val="0"/>
              <w:spacing w:before="0" w:after="283"/>
              <w:jc w:val="left"/>
              <w:rPr/>
            </w:pPr>
            <w:r>
              <w:rPr/>
              <w:t>Boston, Massachusetts 02116</w:t>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25" w:type="dxa"/>
            <w:gridSpan w:val="3"/>
            <w:tcBorders/>
          </w:tcPr>
          <w:p>
            <w:pPr>
              <w:pStyle w:val="TableContents"/>
              <w:bidi w:val="0"/>
              <w:spacing w:before="0" w:after="283"/>
              <w:jc w:val="left"/>
              <w:rPr/>
            </w:pPr>
            <w:r>
              <w:rPr/>
              <w:t>Tel: +1.617.948.6000 Fax: +1.617.948.6001</w:t>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25" w:type="dxa"/>
            <w:gridSpan w:val="3"/>
            <w:tcBorders/>
          </w:tcPr>
          <w:p>
            <w:pPr>
              <w:pStyle w:val="TableContents"/>
              <w:bidi w:val="0"/>
              <w:spacing w:before="0" w:after="283"/>
              <w:jc w:val="left"/>
              <w:rPr/>
            </w:pPr>
            <w:r>
              <w:rPr/>
              <w:t>www.lw.com</w:t>
            </w:r>
          </w:p>
        </w:tc>
      </w:tr>
      <w:tr>
        <w:trPr>
          <w:trHeight w:val="120" w:hRule="atLeast"/>
        </w:trPr>
        <w:tc>
          <w:tcPr>
            <w:tcW w:w="6660" w:type="dxa"/>
            <w:tcBorders/>
            <w:vAlign w:val="center"/>
          </w:tcPr>
          <w:p>
            <w:pPr>
              <w:pStyle w:val="TableContents"/>
              <w:bidi w:val="0"/>
              <w:spacing w:before="0" w:after="283"/>
              <w:jc w:val="left"/>
              <w:rPr>
                <w:sz w:val="4"/>
                <w:szCs w:val="4"/>
              </w:rPr>
            </w:pPr>
            <w:r>
              <w:rPr>
                <w:sz w:val="4"/>
                <w:szCs w:val="4"/>
              </w:rPr>
            </w:r>
          </w:p>
        </w:tc>
        <w:tc>
          <w:tcPr>
            <w:tcW w:w="3545" w:type="dxa"/>
            <w:gridSpan w:val="4"/>
            <w:tcBorders/>
            <w:vAlign w:val="center"/>
          </w:tcPr>
          <w:p>
            <w:pPr>
              <w:pStyle w:val="TableContents"/>
              <w:bidi w:val="0"/>
              <w:spacing w:before="0" w:after="283"/>
              <w:jc w:val="left"/>
              <w:rPr>
                <w:sz w:val="4"/>
                <w:szCs w:val="4"/>
              </w:rPr>
            </w:pPr>
            <w:r>
              <w:rPr>
                <w:sz w:val="4"/>
                <w:szCs w:val="4"/>
              </w:rPr>
            </w:r>
          </w:p>
        </w:tc>
      </w:tr>
      <w:tr>
        <w:trPr/>
        <w:tc>
          <w:tcPr>
            <w:tcW w:w="6660" w:type="dxa"/>
            <w:vMerge w:val="restart"/>
            <w:tcBorders/>
          </w:tcPr>
          <w:p>
            <w:pPr>
              <w:pStyle w:val="TableContents"/>
              <w:bidi w:val="0"/>
              <w:spacing w:before="0" w:after="283"/>
              <w:jc w:val="left"/>
              <w:rPr/>
            </w:pPr>
            <w:r>
              <w:rPr/>
              <w:drawing>
                <wp:inline distT="0" distB="0" distL="0" distR="0">
                  <wp:extent cx="2705100" cy="247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7"/>
                          <a:stretch>
                            <a:fillRect/>
                          </a:stretch>
                        </pic:blipFill>
                        <pic:spPr bwMode="auto">
                          <a:xfrm>
                            <a:off x="0" y="0"/>
                            <a:ext cx="2705100" cy="2476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3425" w:type="dxa"/>
            <w:gridSpan w:val="3"/>
            <w:tcBorders/>
          </w:tcPr>
          <w:p>
            <w:pPr>
              <w:pStyle w:val="TableContents"/>
              <w:bidi w:val="0"/>
              <w:spacing w:before="0" w:after="283"/>
              <w:jc w:val="left"/>
              <w:rPr/>
            </w:pPr>
            <w:r>
              <w:rPr/>
              <w:t>FIRM / AFFILIATE OFFICES</w:t>
            </w:r>
          </w:p>
        </w:tc>
      </w:tr>
      <w:tr>
        <w:trPr/>
        <w:tc>
          <w:tcPr>
            <w:tcW w:w="6660" w:type="dxa"/>
            <w:vMerge w:val="continue"/>
            <w:tcBorders/>
          </w:tcPr>
          <w:p>
            <w:pPr>
              <w:pStyle w:val="Normal"/>
              <w:bidi w:val="0"/>
              <w:jc w:val="left"/>
              <w:rPr/>
            </w:pPr>
            <w:r>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Austin</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Milan</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Beijing</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Munich</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Boston</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New York</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Brussels</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Orange County</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Chicago</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Paris</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Dubai</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Riyadh</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pPr>
            <w:r>
              <w:rPr/>
              <w:t>August 13, 2026</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Düsseldorf</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San Diego</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Frankfurt</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San Francisco</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pPr>
            <w:r>
              <w:rPr/>
              <w:t>MiNK Therapeutics, Inc.</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Hamburg</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Seoul</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pPr>
            <w:r>
              <w:rPr/>
              <w:t>149 Fifth Avenue, Suite 500</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Hong Kong</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Silicon Valley</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pPr>
            <w:r>
              <w:rPr/>
              <w:t>New York, NY 10010</w:t>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Houston</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Singapore</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London</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Tel Aviv</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Los Angeles</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Tokyo</w:t>
            </w:r>
          </w:p>
        </w:tc>
      </w:tr>
      <w:tr>
        <w:trPr>
          <w:trHeight w:val="60" w:hRule="atLeast"/>
        </w:trPr>
        <w:tc>
          <w:tcPr>
            <w:tcW w:w="6660" w:type="dxa"/>
            <w:tcBorders/>
            <w:vAlign w:val="center"/>
          </w:tcPr>
          <w:p>
            <w:pPr>
              <w:pStyle w:val="TableContents"/>
              <w:bidi w:val="0"/>
              <w:spacing w:before="0" w:after="283"/>
              <w:jc w:val="left"/>
              <w:rPr>
                <w:sz w:val="4"/>
                <w:szCs w:val="4"/>
              </w:rPr>
            </w:pPr>
            <w:r>
              <w:rPr>
                <w:sz w:val="4"/>
                <w:szCs w:val="4"/>
              </w:rPr>
            </w:r>
          </w:p>
        </w:tc>
        <w:tc>
          <w:tcPr>
            <w:tcW w:w="1430" w:type="dxa"/>
            <w:gridSpan w:val="2"/>
            <w:tcBorders/>
            <w:vAlign w:val="center"/>
          </w:tcPr>
          <w:p>
            <w:pPr>
              <w:pStyle w:val="TableContents"/>
              <w:bidi w:val="0"/>
              <w:spacing w:before="0" w:after="283"/>
              <w:jc w:val="left"/>
              <w:rPr>
                <w:sz w:val="4"/>
                <w:szCs w:val="4"/>
              </w:rPr>
            </w:pPr>
            <w:r>
              <w:rPr>
                <w:sz w:val="4"/>
                <w:szCs w:val="4"/>
              </w:rPr>
            </w:r>
          </w:p>
        </w:tc>
        <w:tc>
          <w:tcPr>
            <w:tcW w:w="2115" w:type="dxa"/>
            <w:gridSpan w:val="2"/>
            <w:tcBorders/>
            <w:vAlign w:val="center"/>
          </w:tcPr>
          <w:p>
            <w:pPr>
              <w:pStyle w:val="TableContents"/>
              <w:bidi w:val="0"/>
              <w:spacing w:before="0" w:after="283"/>
              <w:jc w:val="left"/>
              <w:rPr>
                <w:sz w:val="4"/>
                <w:szCs w:val="4"/>
              </w:rPr>
            </w:pPr>
            <w:r>
              <w:rPr>
                <w:sz w:val="4"/>
                <w:szCs w:val="4"/>
              </w:rPr>
            </w:r>
          </w:p>
        </w:tc>
      </w:tr>
      <w:tr>
        <w:trPr/>
        <w:tc>
          <w:tcPr>
            <w:tcW w:w="66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310" w:type="dxa"/>
            <w:tcBorders/>
          </w:tcPr>
          <w:p>
            <w:pPr>
              <w:pStyle w:val="TableContents"/>
              <w:bidi w:val="0"/>
              <w:spacing w:before="0" w:after="283"/>
              <w:jc w:val="left"/>
              <w:rPr/>
            </w:pPr>
            <w:r>
              <w:rPr/>
              <w:t>Madrid</w:t>
            </w:r>
          </w:p>
        </w:tc>
        <w:tc>
          <w:tcPr>
            <w:tcW w:w="120" w:type="dxa"/>
            <w:tcBorders/>
            <w:vAlign w:val="bottom"/>
          </w:tcPr>
          <w:p>
            <w:pPr>
              <w:pStyle w:val="TableContents"/>
              <w:bidi w:val="0"/>
              <w:spacing w:before="0" w:after="283"/>
              <w:jc w:val="left"/>
              <w:rPr/>
            </w:pPr>
            <w:r>
              <w:rPr/>
              <w:t>  </w:t>
            </w:r>
          </w:p>
        </w:tc>
        <w:tc>
          <w:tcPr>
            <w:tcW w:w="1995" w:type="dxa"/>
            <w:tcBorders/>
          </w:tcPr>
          <w:p>
            <w:pPr>
              <w:pStyle w:val="TableContents"/>
              <w:bidi w:val="0"/>
              <w:spacing w:before="0" w:after="283"/>
              <w:jc w:val="left"/>
              <w:rPr/>
            </w:pPr>
            <w:r>
              <w:rPr/>
              <w:t>Washington, D.C.</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Re: </w:t>
      </w:r>
      <w:r>
        <w:rPr>
          <w:rFonts w:ascii="Times New Roman" w:hAnsi="Times New Roman"/>
          <w:b/>
          <w:sz w:val="20"/>
          <w:u w:val="single"/>
        </w:rPr>
        <w:t>Registration Statement on Form S-8; 235,311 shares of MiNK Therapeutics, Inc. Common Stock, $0.00001 par value per share</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set forth above: </w:t>
      </w:r>
    </w:p>
    <w:p>
      <w:pPr>
        <w:pStyle w:val="TextBody"/>
        <w:bidi w:val="0"/>
        <w:spacing w:before="120" w:after="0"/>
        <w:jc w:val="left"/>
        <w:rPr>
          <w:rFonts w:ascii="Times New Roman" w:hAnsi="Times New Roman"/>
          <w:sz w:val="20"/>
        </w:rPr>
      </w:pPr>
      <w:r>
        <w:rPr>
          <w:rFonts w:ascii="Times New Roman" w:hAnsi="Times New Roman"/>
          <w:sz w:val="20"/>
        </w:rPr>
        <w:t xml:space="preserve">We have acted as special counsel to MiNK Therapeutics, Inc., a Delaware corporation (the “Company”), in connection with the preparation and filing by the Company with the Securities and Exchange Commission (the “Commission”) of a registration statement on Form S-8 (the “Registration Statement”) under the Securities Act of 1933, as amended (the “Act”), relating to the issuance by the Company of up to an aggregate of 235,311 shares of common stock of the Company, $0.00001 par value per share (the “Shares”), issuable under the MiNK Therapeutics, Inc. 2021 Equity Incentive Plan (the “2021 Plan”) and the MiNK Therapeutics, Inc. 2021 Employee Stock Purchase Plan (together with the 2021 Plan, the “Plans”). This opinion is being furnished in connection with the requirements of Item 601(b)(5) of Regulation S-K under the Act, and no opinion is expressed herein as to any matter pertaining to the contents of the Registration Statement or the prospectus forming a part thereof, other than as expressly stated herein with respect to the issuance of the Shares. </w:t>
      </w:r>
    </w:p>
    <w:p>
      <w:pPr>
        <w:pStyle w:val="TextBody"/>
        <w:bidi w:val="0"/>
        <w:spacing w:before="240" w:after="0"/>
        <w:jc w:val="left"/>
        <w:rPr>
          <w:rFonts w:ascii="Times New Roman" w:hAnsi="Times New Roman"/>
          <w:sz w:val="20"/>
        </w:rPr>
      </w:pPr>
      <w:r>
        <w:rPr>
          <w:rFonts w:ascii="Times New Roman" w:hAnsi="Times New Roman"/>
          <w:sz w:val="20"/>
        </w:rPr>
        <w:t xml:space="preserve">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“DGCL”), and we express no opinion with respect to any other laws.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foregoing and the other matters set forth herein, it is our opinion that, as of the date hereof, when the Shares shall have been duly registered on the books of the transfer agent and registrar therefor in the name or on behalf of the recipients, and have been issued by the Company for legal consideration in excess of par value in the circumstances contemplated by the Plans, assuming in each case that the individual grants or awards under the Plans are duly authorized by all necessary corporate action and duly granted or awarded and exercised in accordance with the requirements of law and the Plans (and the agreements and awards duly adopted thereunder and in accordance therewith), the issue and sale of the Shares will have been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August 13, 2026 </w:t>
      </w:r>
    </w:p>
    <w:p>
      <w:pPr>
        <w:pStyle w:val="TextBody"/>
        <w:bidi w:val="0"/>
        <w:spacing w:before="0" w:after="0"/>
        <w:jc w:val="left"/>
        <w:rPr>
          <w:rFonts w:ascii="Times New Roman" w:hAnsi="Times New Roman"/>
          <w:b/>
          <w:sz w:val="20"/>
        </w:rPr>
      </w:pPr>
      <w:r>
        <w:rPr>
          <w:rFonts w:ascii="Times New Roman" w:hAnsi="Times New Roman"/>
          <w:b/>
          <w:sz w:val="20"/>
        </w:rPr>
        <w:t xml:space="preserve">Page 2 </w:t>
      </w:r>
    </w:p>
    <w:p>
      <w:pPr>
        <w:pStyle w:val="TextBody"/>
        <w:bidi w:val="0"/>
        <w:spacing w:before="0" w:after="0"/>
        <w:jc w:val="left"/>
        <w:rPr/>
      </w:pPr>
      <w:r>
        <w:rPr/>
        <w:t> </w:t>
      </w:r>
    </w:p>
    <w:p>
      <w:pPr>
        <w:pStyle w:val="TextBody"/>
        <w:bidi w:val="0"/>
        <w:spacing w:before="0" w:after="0"/>
        <w:jc w:val="left"/>
        <w:rPr/>
      </w:pPr>
      <w:r>
        <w:rPr/>
        <w:drawing>
          <wp:inline distT="0" distB="0" distL="0" distR="0">
            <wp:extent cx="1838325" cy="180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1838325" cy="18097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In giving such consent, we do not thereby admit that we are in the category of persons whose consent is required under Section 7 of the Act or the rules and regulations of the Commission thereunder.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Latham &amp; Watkins LLP</w:t>
            </w:r>
          </w:p>
        </w:tc>
      </w:tr>
    </w:tbl>
    <w:p>
      <w:pPr>
        <w:pStyle w:val="TextBody"/>
        <w:bidi w:val="0"/>
        <w:spacing w:before="0" w:after="0"/>
        <w:jc w:val="right"/>
        <w:rPr>
          <w:rFonts w:ascii="Times New Roman" w:hAnsi="Times New Roman"/>
          <w:b/>
          <w:sz w:val="20"/>
        </w:rPr>
      </w:pPr>
      <w:bookmarkStart w:id="5" w:name="d154252dex231.htm"/>
      <w:bookmarkStart w:id="6" w:name="ksd154252dex231"/>
      <w:bookmarkEnd w:id="5"/>
      <w:bookmarkEnd w:id="6"/>
      <w:r>
        <w:rPr>
          <w:rFonts w:ascii="Times New Roman" w:hAnsi="Times New Roman"/>
          <w:b/>
          <w:sz w:val="20"/>
        </w:rPr>
        <w:t xml:space="preserve">Exhibit 23.1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456"/>
        <w:gridCol w:w="120"/>
        <w:gridCol w:w="7629"/>
      </w:tblGrid>
      <w:tr>
        <w:trPr/>
        <w:tc>
          <w:tcPr>
            <w:tcW w:w="24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629" w:type="dxa"/>
            <w:tcBorders/>
            <w:vAlign w:val="center"/>
          </w:tcPr>
          <w:p>
            <w:pPr>
              <w:pStyle w:val="TableContents"/>
              <w:bidi w:val="0"/>
              <w:spacing w:before="0" w:after="283"/>
              <w:jc w:val="left"/>
              <w:rPr>
                <w:sz w:val="4"/>
                <w:szCs w:val="4"/>
              </w:rPr>
            </w:pPr>
            <w:r>
              <w:rPr>
                <w:sz w:val="4"/>
                <w:szCs w:val="4"/>
              </w:rPr>
            </w:r>
          </w:p>
        </w:tc>
      </w:tr>
      <w:tr>
        <w:trPr/>
        <w:tc>
          <w:tcPr>
            <w:tcW w:w="2456" w:type="dxa"/>
            <w:tcBorders/>
          </w:tcPr>
          <w:p>
            <w:pPr>
              <w:pStyle w:val="TableContents"/>
              <w:bidi w:val="0"/>
              <w:spacing w:before="0" w:after="283"/>
              <w:jc w:val="left"/>
              <w:rPr/>
            </w:pPr>
            <w:r>
              <w:rPr/>
              <w:drawing>
                <wp:inline distT="0" distB="0" distL="0" distR="0">
                  <wp:extent cx="10382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9"/>
                          <a:stretch>
                            <a:fillRect/>
                          </a:stretch>
                        </pic:blipFill>
                        <pic:spPr bwMode="auto">
                          <a:xfrm>
                            <a:off x="0" y="0"/>
                            <a:ext cx="1038225" cy="476250"/>
                          </a:xfrm>
                          <a:prstGeom prst="rect">
                            <a:avLst/>
                          </a:prstGeom>
                        </pic:spPr>
                      </pic:pic>
                    </a:graphicData>
                  </a:graphic>
                </wp:inline>
              </w:drawing>
            </w:r>
            <w:r>
              <w:rPr/>
              <w:t xml:space="preserve"> </w:t>
            </w:r>
          </w:p>
        </w:tc>
        <w:tc>
          <w:tcPr>
            <w:tcW w:w="120" w:type="dxa"/>
            <w:tcBorders/>
            <w:vAlign w:val="bottom"/>
          </w:tcPr>
          <w:p>
            <w:pPr>
              <w:pStyle w:val="TableContents"/>
              <w:bidi w:val="0"/>
              <w:spacing w:before="0" w:after="283"/>
              <w:jc w:val="left"/>
              <w:rPr/>
            </w:pPr>
            <w:r>
              <w:rPr/>
              <w:t>  </w:t>
            </w:r>
          </w:p>
        </w:tc>
        <w:tc>
          <w:tcPr>
            <w:tcW w:w="7629" w:type="dxa"/>
            <w:tcBorders/>
          </w:tcPr>
          <w:p>
            <w:pPr>
              <w:pStyle w:val="TableContents"/>
              <w:bidi w:val="0"/>
              <w:spacing w:before="0" w:after="283"/>
              <w:jc w:val="left"/>
              <w:rPr>
                <w:sz w:val="4"/>
                <w:szCs w:val="4"/>
              </w:rPr>
            </w:pPr>
            <w:r>
              <w:rPr>
                <w:sz w:val="4"/>
                <w:szCs w:val="4"/>
              </w:rPr>
            </w:r>
          </w:p>
        </w:tc>
      </w:tr>
      <w:tr>
        <w:trPr/>
        <w:tc>
          <w:tcPr>
            <w:tcW w:w="24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629" w:type="dxa"/>
            <w:tcBorders/>
          </w:tcPr>
          <w:p>
            <w:pPr>
              <w:pStyle w:val="TableContents"/>
              <w:bidi w:val="0"/>
              <w:spacing w:before="0" w:after="0"/>
              <w:jc w:val="left"/>
              <w:rPr>
                <w:rFonts w:ascii="Times New Roman" w:hAnsi="Times New Roman"/>
                <w:sz w:val="20"/>
              </w:rPr>
            </w:pPr>
            <w:r>
              <w:rPr>
                <w:rFonts w:ascii="Times New Roman" w:hAnsi="Times New Roman"/>
                <w:sz w:val="20"/>
              </w:rPr>
              <w:t>KPMG LLP</w:t>
            </w:r>
          </w:p>
          <w:p>
            <w:pPr>
              <w:pStyle w:val="TableContents"/>
              <w:bidi w:val="0"/>
              <w:spacing w:before="0" w:after="0"/>
              <w:jc w:val="left"/>
              <w:rPr>
                <w:rFonts w:ascii="Times New Roman" w:hAnsi="Times New Roman"/>
                <w:sz w:val="20"/>
              </w:rPr>
            </w:pPr>
            <w:r>
              <w:rPr>
                <w:rFonts w:ascii="Times New Roman" w:hAnsi="Times New Roman"/>
                <w:sz w:val="20"/>
              </w:rPr>
              <w:t>Two Financial Center</w:t>
            </w:r>
          </w:p>
          <w:p>
            <w:pPr>
              <w:pStyle w:val="TableContents"/>
              <w:bidi w:val="0"/>
              <w:spacing w:before="0" w:after="0"/>
              <w:jc w:val="left"/>
              <w:rPr>
                <w:rFonts w:ascii="Times New Roman" w:hAnsi="Times New Roman"/>
                <w:sz w:val="20"/>
              </w:rPr>
            </w:pPr>
            <w:r>
              <w:rPr>
                <w:rFonts w:ascii="Times New Roman" w:hAnsi="Times New Roman"/>
                <w:sz w:val="20"/>
              </w:rPr>
              <w:t>60 South Street</w:t>
            </w:r>
          </w:p>
          <w:p>
            <w:pPr>
              <w:pStyle w:val="TableContents"/>
              <w:bidi w:val="0"/>
              <w:spacing w:before="0" w:after="20"/>
              <w:jc w:val="left"/>
              <w:rPr>
                <w:rFonts w:ascii="Times New Roman" w:hAnsi="Times New Roman"/>
                <w:sz w:val="20"/>
              </w:rPr>
            </w:pPr>
            <w:r>
              <w:rPr>
                <w:rFonts w:ascii="Times New Roman" w:hAnsi="Times New Roman"/>
                <w:sz w:val="20"/>
              </w:rPr>
              <w:t>Boston, MA 02111</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31, 2026, with respect to the consolidated financial statements of MiNK Therapeutics, Inc. and subsidiaries, incorporated herein by reference.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left"/>
              <w:rPr/>
            </w:pPr>
            <w:r>
              <w:rPr/>
              <w:t>Boston, Massachusetts</w:t>
            </w:r>
          </w:p>
        </w:tc>
      </w:tr>
      <w:tr>
        <w:trPr/>
        <w:tc>
          <w:tcPr>
            <w:tcW w:w="10205" w:type="dxa"/>
            <w:tcBorders/>
          </w:tcPr>
          <w:p>
            <w:pPr>
              <w:pStyle w:val="TableContents"/>
              <w:bidi w:val="0"/>
              <w:spacing w:before="0" w:after="283"/>
              <w:jc w:val="left"/>
              <w:rPr/>
            </w:pPr>
            <w:r>
              <w:rPr/>
              <w:t>August 13, 2026</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892"/>
        <w:gridCol w:w="122"/>
        <w:gridCol w:w="6471"/>
        <w:gridCol w:w="122"/>
        <w:gridCol w:w="1598"/>
      </w:tblGrid>
      <w:tr>
        <w:trPr/>
        <w:tc>
          <w:tcPr>
            <w:tcW w:w="18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6471"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598" w:type="dxa"/>
            <w:tcBorders/>
            <w:vAlign w:val="center"/>
          </w:tcPr>
          <w:p>
            <w:pPr>
              <w:pStyle w:val="TableContents"/>
              <w:bidi w:val="0"/>
              <w:spacing w:before="0" w:after="283"/>
              <w:jc w:val="left"/>
              <w:rPr>
                <w:sz w:val="4"/>
                <w:szCs w:val="4"/>
              </w:rPr>
            </w:pPr>
            <w:r>
              <w:rPr>
                <w:sz w:val="4"/>
                <w:szCs w:val="4"/>
              </w:rPr>
            </w:r>
          </w:p>
        </w:tc>
      </w:tr>
      <w:tr>
        <w:trPr/>
        <w:tc>
          <w:tcPr>
            <w:tcW w:w="18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6471" w:type="dxa"/>
            <w:tcBorders/>
          </w:tcPr>
          <w:p>
            <w:pPr>
              <w:pStyle w:val="TableContents"/>
              <w:bidi w:val="0"/>
              <w:spacing w:before="0" w:after="0"/>
              <w:jc w:val="left"/>
              <w:rPr>
                <w:rFonts w:ascii="Times New Roman" w:hAnsi="Times New Roman"/>
                <w:sz w:val="20"/>
              </w:rPr>
            </w:pPr>
            <w:r>
              <w:rPr>
                <w:rFonts w:ascii="Times New Roman" w:hAnsi="Times New Roman"/>
                <w:sz w:val="20"/>
              </w:rPr>
              <w:t>KPMG LLP, a Delaware limited liability partnership, and its subsidiaries are part of</w:t>
            </w:r>
          </w:p>
          <w:p>
            <w:pPr>
              <w:pStyle w:val="TableContents"/>
              <w:bidi w:val="0"/>
              <w:spacing w:before="0" w:after="0"/>
              <w:jc w:val="left"/>
              <w:rPr>
                <w:rFonts w:ascii="Times New Roman" w:hAnsi="Times New Roman"/>
                <w:sz w:val="20"/>
              </w:rPr>
            </w:pPr>
            <w:r>
              <w:rPr>
                <w:rFonts w:ascii="Times New Roman" w:hAnsi="Times New Roman"/>
                <w:sz w:val="20"/>
              </w:rPr>
              <w:t>the KPMG global organization of independent member firms affiliated with KPMG</w:t>
            </w:r>
          </w:p>
          <w:p>
            <w:pPr>
              <w:pStyle w:val="TableContents"/>
              <w:bidi w:val="0"/>
              <w:spacing w:before="0" w:after="20"/>
              <w:jc w:val="left"/>
              <w:rPr>
                <w:rFonts w:ascii="Times New Roman" w:hAnsi="Times New Roman"/>
                <w:sz w:val="20"/>
              </w:rPr>
            </w:pPr>
            <w:r>
              <w:rPr>
                <w:rFonts w:ascii="Times New Roman" w:hAnsi="Times New Roman"/>
                <w:sz w:val="20"/>
              </w:rPr>
              <w:t>International Limited, a private English company limited by guarantee.</w:t>
            </w:r>
          </w:p>
        </w:tc>
        <w:tc>
          <w:tcPr>
            <w:tcW w:w="122" w:type="dxa"/>
            <w:tcBorders/>
            <w:vAlign w:val="bottom"/>
          </w:tcPr>
          <w:p>
            <w:pPr>
              <w:pStyle w:val="TableContents"/>
              <w:bidi w:val="0"/>
              <w:spacing w:before="0" w:after="283"/>
              <w:jc w:val="left"/>
              <w:rPr/>
            </w:pPr>
            <w:r>
              <w:rPr/>
              <w:t>  </w:t>
            </w:r>
          </w:p>
        </w:tc>
        <w:tc>
          <w:tcPr>
            <w:tcW w:w="1598" w:type="dxa"/>
            <w:tcBorders/>
          </w:tcPr>
          <w:p>
            <w:pPr>
              <w:pStyle w:val="TableContents"/>
              <w:bidi w:val="0"/>
              <w:spacing w:before="0" w:after="283"/>
              <w:jc w:val="left"/>
              <w:rPr>
                <w:sz w:val="4"/>
                <w:szCs w:val="4"/>
              </w:rPr>
            </w:pPr>
            <w:r>
              <w:rPr>
                <w:sz w:val="4"/>
                <w:szCs w:val="4"/>
              </w:rPr>
            </w:r>
          </w:p>
        </w:tc>
      </w:tr>
    </w:tbl>
    <w:p>
      <w:pPr>
        <w:pStyle w:val="Normal"/>
        <w:bidi w:val="0"/>
        <w:spacing w:before="0" w:after="0"/>
        <w:jc w:val="left"/>
        <w:rPr>
          <w:sz w:val="4"/>
          <w:szCs w:val="4"/>
        </w:rPr>
      </w:pPr>
      <w:r>
        <w:rPr>
          <w:sz w:val="4"/>
          <w:szCs w:val="4"/>
        </w:rPr>
      </w:r>
      <w:bookmarkStart w:id="7" w:name="d154252dexfilingfees.htm"/>
      <w:bookmarkStart w:id="8" w:name="ksd154252dexfilingfees"/>
      <w:bookmarkStart w:id="9" w:name="d154252dexfilingfees.htm"/>
      <w:bookmarkStart w:id="10" w:name="ksd154252dexfilingfees"/>
      <w:bookmarkEnd w:id="9"/>
      <w:bookmarkEnd w:id="10"/>
      <w:r>
        <w:br w:type="page"/>
      </w:r>
    </w:p>
    <w:tbl>
      <w:tblPr>
        <w:tblW w:w="3576" w:type="dxa"/>
        <w:jc w:val="left"/>
        <w:tblInd w:w="0" w:type="dxa"/>
        <w:tblLayout w:type="fixed"/>
        <w:tblCellMar>
          <w:top w:w="28" w:type="dxa"/>
          <w:left w:w="28" w:type="dxa"/>
          <w:bottom w:w="28" w:type="dxa"/>
          <w:right w:w="28" w:type="dxa"/>
        </w:tblCellMar>
      </w:tblPr>
      <w:tblGrid>
        <w:gridCol w:w="3422"/>
        <w:gridCol w:w="154"/>
      </w:tblGrid>
      <w:tr>
        <w:trPr/>
        <w:tc>
          <w:tcPr>
            <w:tcW w:w="3576"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2"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2" w:type="dxa"/>
            <w:tcBorders/>
            <w:vAlign w:val="center"/>
          </w:tcPr>
          <w:p>
            <w:pPr>
              <w:pStyle w:val="TableContents"/>
              <w:bidi w:val="0"/>
              <w:spacing w:before="0" w:after="283"/>
              <w:jc w:val="left"/>
              <w:rPr>
                <w:b/>
              </w:rPr>
            </w:pPr>
            <w:r>
              <w:rPr>
                <w:b/>
              </w:rPr>
              <w:t xml:space="preserve">MiNK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7"/>
        <w:gridCol w:w="1301"/>
        <w:gridCol w:w="1209"/>
        <w:gridCol w:w="1243"/>
        <w:gridCol w:w="1602"/>
        <w:gridCol w:w="1127"/>
        <w:gridCol w:w="1442"/>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7"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9"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3"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2"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2"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7" w:type="dxa"/>
            <w:tcBorders/>
            <w:shd w:fill="E7E7E2" w:val="clear"/>
            <w:vAlign w:val="center"/>
          </w:tcPr>
          <w:p>
            <w:pPr>
              <w:pStyle w:val="TableContents"/>
              <w:bidi w:val="0"/>
              <w:spacing w:before="0" w:after="283"/>
              <w:jc w:val="left"/>
              <w:rPr/>
            </w:pPr>
            <w:r>
              <w:rPr/>
              <w:t xml:space="preserve">Common stock, $0.00001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09" w:type="dxa"/>
            <w:tcBorders/>
            <w:shd w:fill="E7E7E2" w:val="clear"/>
            <w:vAlign w:val="center"/>
          </w:tcPr>
          <w:p>
            <w:pPr>
              <w:pStyle w:val="TableContents"/>
              <w:bidi w:val="0"/>
              <w:spacing w:before="0" w:after="283"/>
              <w:jc w:val="right"/>
              <w:rPr/>
            </w:pPr>
            <w:r>
              <w:rPr/>
              <w:t xml:space="preserve">188,249 </w:t>
            </w:r>
          </w:p>
        </w:tc>
        <w:tc>
          <w:tcPr>
            <w:tcW w:w="1243" w:type="dxa"/>
            <w:tcBorders/>
            <w:shd w:fill="E7E7E2" w:val="clear"/>
            <w:vAlign w:val="center"/>
          </w:tcPr>
          <w:p>
            <w:pPr>
              <w:pStyle w:val="TableContents"/>
              <w:bidi w:val="0"/>
              <w:spacing w:before="0" w:after="283"/>
              <w:jc w:val="right"/>
              <w:rPr/>
            </w:pPr>
            <w:r>
              <w:rPr/>
              <w:t xml:space="preserve">$ 11.25 </w:t>
            </w:r>
          </w:p>
        </w:tc>
        <w:tc>
          <w:tcPr>
            <w:tcW w:w="1602" w:type="dxa"/>
            <w:tcBorders/>
            <w:shd w:fill="E7E7E2" w:val="clear"/>
            <w:vAlign w:val="center"/>
          </w:tcPr>
          <w:p>
            <w:pPr>
              <w:pStyle w:val="TableContents"/>
              <w:bidi w:val="0"/>
              <w:spacing w:before="0" w:after="283"/>
              <w:jc w:val="right"/>
              <w:rPr/>
            </w:pPr>
            <w:r>
              <w:rPr/>
              <w:t xml:space="preserve">$ 2,117,801.25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$ 292.47 </w:t>
            </w:r>
          </w:p>
        </w:tc>
      </w:tr>
      <w:tr>
        <w:trPr/>
        <w:tc>
          <w:tcPr>
            <w:tcW w:w="242" w:type="dxa"/>
            <w:tcBorders/>
            <w:shd w:fill="E7E7E2" w:val="clear"/>
            <w:vAlign w:val="center"/>
          </w:tcPr>
          <w:p>
            <w:pPr>
              <w:pStyle w:val="TableContents"/>
              <w:bidi w:val="0"/>
              <w:spacing w:before="0" w:after="283"/>
              <w:jc w:val="center"/>
              <w:rPr/>
            </w:pPr>
            <w:r>
              <w:rPr/>
              <w:t xml:space="preserve">2 </w:t>
            </w:r>
          </w:p>
        </w:tc>
        <w:tc>
          <w:tcPr>
            <w:tcW w:w="962" w:type="dxa"/>
            <w:tcBorders/>
            <w:shd w:fill="E7E7E2" w:val="clear"/>
            <w:vAlign w:val="center"/>
          </w:tcPr>
          <w:p>
            <w:pPr>
              <w:pStyle w:val="TableContents"/>
              <w:bidi w:val="0"/>
              <w:spacing w:before="0" w:after="283"/>
              <w:jc w:val="left"/>
              <w:rPr/>
            </w:pPr>
            <w:r>
              <w:rPr/>
              <w:t xml:space="preserve">Equity </w:t>
            </w:r>
          </w:p>
        </w:tc>
        <w:tc>
          <w:tcPr>
            <w:tcW w:w="1077" w:type="dxa"/>
            <w:tcBorders/>
            <w:shd w:fill="E7E7E2" w:val="clear"/>
            <w:vAlign w:val="center"/>
          </w:tcPr>
          <w:p>
            <w:pPr>
              <w:pStyle w:val="TableContents"/>
              <w:bidi w:val="0"/>
              <w:spacing w:before="0" w:after="283"/>
              <w:jc w:val="left"/>
              <w:rPr/>
            </w:pPr>
            <w:r>
              <w:rPr/>
              <w:t xml:space="preserve">Common stock, $0.00001 par value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09" w:type="dxa"/>
            <w:tcBorders/>
            <w:shd w:fill="E7E7E2" w:val="clear"/>
            <w:vAlign w:val="center"/>
          </w:tcPr>
          <w:p>
            <w:pPr>
              <w:pStyle w:val="TableContents"/>
              <w:bidi w:val="0"/>
              <w:spacing w:before="0" w:after="283"/>
              <w:jc w:val="right"/>
              <w:rPr/>
            </w:pPr>
            <w:r>
              <w:rPr/>
              <w:t xml:space="preserve">47,062 </w:t>
            </w:r>
          </w:p>
        </w:tc>
        <w:tc>
          <w:tcPr>
            <w:tcW w:w="1243" w:type="dxa"/>
            <w:tcBorders/>
            <w:shd w:fill="E7E7E2" w:val="clear"/>
            <w:vAlign w:val="center"/>
          </w:tcPr>
          <w:p>
            <w:pPr>
              <w:pStyle w:val="TableContents"/>
              <w:bidi w:val="0"/>
              <w:spacing w:before="0" w:after="283"/>
              <w:jc w:val="right"/>
              <w:rPr/>
            </w:pPr>
            <w:r>
              <w:rPr/>
              <w:t xml:space="preserve">$ 11.25 </w:t>
            </w:r>
          </w:p>
        </w:tc>
        <w:tc>
          <w:tcPr>
            <w:tcW w:w="1602" w:type="dxa"/>
            <w:tcBorders/>
            <w:shd w:fill="E7E7E2" w:val="clear"/>
            <w:vAlign w:val="center"/>
          </w:tcPr>
          <w:p>
            <w:pPr>
              <w:pStyle w:val="TableContents"/>
              <w:bidi w:val="0"/>
              <w:spacing w:before="0" w:after="283"/>
              <w:jc w:val="right"/>
              <w:rPr/>
            </w:pPr>
            <w:r>
              <w:rPr/>
              <w:t xml:space="preserve">$ 529,447.50 </w:t>
            </w:r>
          </w:p>
        </w:tc>
        <w:tc>
          <w:tcPr>
            <w:tcW w:w="1127" w:type="dxa"/>
            <w:tcBorders/>
            <w:shd w:fill="E7E7E2" w:val="clear"/>
            <w:vAlign w:val="center"/>
          </w:tcPr>
          <w:p>
            <w:pPr>
              <w:pStyle w:val="TableContents"/>
              <w:bidi w:val="0"/>
              <w:spacing w:before="0" w:after="283"/>
              <w:jc w:val="right"/>
              <w:rPr/>
            </w:pPr>
            <w:r>
              <w:rPr/>
              <w:t xml:space="preserve">0.0001381 </w:t>
            </w:r>
          </w:p>
        </w:tc>
        <w:tc>
          <w:tcPr>
            <w:tcW w:w="1442" w:type="dxa"/>
            <w:tcBorders/>
            <w:shd w:fill="E7E7E2" w:val="clear"/>
            <w:vAlign w:val="center"/>
          </w:tcPr>
          <w:p>
            <w:pPr>
              <w:pStyle w:val="TableContents"/>
              <w:bidi w:val="0"/>
              <w:spacing w:before="0" w:after="283"/>
              <w:jc w:val="right"/>
              <w:rPr/>
            </w:pPr>
            <w:r>
              <w:rPr/>
              <w:t xml:space="preserve">$ 73.12 </w:t>
            </w:r>
          </w:p>
        </w:tc>
      </w:tr>
      <w:tr>
        <w:trPr/>
        <w:tc>
          <w:tcPr>
            <w:tcW w:w="4791" w:type="dxa"/>
            <w:gridSpan w:val="5"/>
            <w:tcBorders/>
            <w:vAlign w:val="center"/>
          </w:tcPr>
          <w:p>
            <w:pPr>
              <w:pStyle w:val="TableContents"/>
              <w:bidi w:val="0"/>
              <w:spacing w:before="0" w:after="0"/>
              <w:ind w:left="0" w:right="0" w:hanging="0"/>
              <w:jc w:val="right"/>
              <w:rPr/>
            </w:pPr>
            <w:r>
              <w:rPr/>
              <w:t>Total Offering Amounts:</w:t>
            </w:r>
          </w:p>
        </w:tc>
        <w:tc>
          <w:tcPr>
            <w:tcW w:w="124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0"/>
              <w:ind w:left="0" w:right="0" w:hanging="0"/>
              <w:jc w:val="right"/>
              <w:rPr/>
            </w:pPr>
            <w:bookmarkStart w:id="11" w:name="MaxAggtOfferingPrice"/>
            <w:bookmarkEnd w:id="11"/>
            <w:r>
              <w:rPr/>
              <w:t xml:space="preserve">$ 2,647,248.75 </w:t>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$ 365.59 </w:t>
            </w:r>
          </w:p>
        </w:tc>
      </w:tr>
      <w:tr>
        <w:trPr/>
        <w:tc>
          <w:tcPr>
            <w:tcW w:w="4791" w:type="dxa"/>
            <w:gridSpan w:val="5"/>
            <w:tcBorders/>
            <w:vAlign w:val="center"/>
          </w:tcPr>
          <w:p>
            <w:pPr>
              <w:pStyle w:val="TableContents"/>
              <w:bidi w:val="0"/>
              <w:spacing w:before="0" w:after="0"/>
              <w:ind w:left="0" w:right="0" w:hanging="0"/>
              <w:jc w:val="right"/>
              <w:rPr/>
            </w:pPr>
            <w:r>
              <w:rPr/>
              <w:t xml:space="preserve">Total Fee Offsets: </w:t>
            </w:r>
          </w:p>
        </w:tc>
        <w:tc>
          <w:tcPr>
            <w:tcW w:w="124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91" w:type="dxa"/>
            <w:gridSpan w:val="5"/>
            <w:tcBorders/>
            <w:vAlign w:val="center"/>
          </w:tcPr>
          <w:p>
            <w:pPr>
              <w:pStyle w:val="TableContents"/>
              <w:bidi w:val="0"/>
              <w:spacing w:before="0" w:after="0"/>
              <w:ind w:left="0" w:right="0" w:hanging="0"/>
              <w:jc w:val="right"/>
              <w:rPr/>
            </w:pPr>
            <w:r>
              <w:rPr/>
              <w:t xml:space="preserve">Net Fee Due: </w:t>
            </w:r>
          </w:p>
        </w:tc>
        <w:tc>
          <w:tcPr>
            <w:tcW w:w="1243"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0"/>
              <w:ind w:left="0" w:right="0" w:hanging="0"/>
              <w:jc w:val="right"/>
              <w:rPr/>
            </w:pPr>
            <w:bookmarkStart w:id="14" w:name="NetFeeAmt"/>
            <w:bookmarkEnd w:id="14"/>
            <w:r>
              <w:rPr/>
              <w:t xml:space="preserve">$ 365.59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8"/>
        <w:gridCol w:w="8706"/>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such additional shares of MiNK Therapeutics, Inc.'s (the "Registrant's") common stock, par value $0.00001 per share ("Common Stock"), as may be issued to prevent dilution from stock splits, stock dividends and similar transactions. (2) Consists of 188,249 shares of the Registrant's Common Stock that became available for issuance on January 1, 2026 under the Registrant's 2021 Equity Incentive Plan (the "2021 EIP") resulting from the annual "evergreen" increase in the number of authorized shares reserved and available for issuance under the 2021 EIP on January 1, 2026. (3) Estimated solely for the purpose of calculating the registration fee in accordance with Rules 457(c) and 457(h), based on the average of the high and low prices of the Registrant's Common Stock as reported on the Nasdaq Capital Market on August 11, 2026. (4) The Registrant does not have any fee offsets.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1"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4" w:type="dxa"/>
            <w:gridSpan w:val="2"/>
            <w:tcBorders/>
            <w:vAlign w:val="center"/>
          </w:tcPr>
          <w:p>
            <w:pPr>
              <w:pStyle w:val="TableContents"/>
              <w:bidi w:val="0"/>
              <w:spacing w:before="0" w:after="283"/>
              <w:jc w:val="left"/>
              <w:rPr/>
            </w:pPr>
            <w:r>
              <w:rPr/>
              <w:t xml:space="preserve">(1) Pursuant to Rule 416 under the Securities Act of 1933, as amended (the "Securities Act"), this Registration Statement also covers such additional shares of MiNK Therapeutics, Inc.'s (the "Registrant's") common stock, par value $0.00001 per share ("Common Stock"), as may be issued to prevent dilution from stock splits, stock dividends and similar transactions. (2) Consists of 47,062 shares of the Registrant's Common Stock that became available for issuance under the Registrant's 2021 Employee Stock Purchase Plan (the "2021 ESPP") resulting from the annual "evergreen" increase in the number of authorized shares reserved and available for issuance under the 2021 ESPP on January 1, 2026. (3) Estimated solely for the purpose of calculating the registration fee in accordance with Rules 457(c) and 457(h), based on the average of the high and low prices of the Registrant's Common Stock as reported on the Nasdaq Capital Market on August 11, 2026. (4) The Registrant does not have any fee offsets.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0229/000119312521303045/d134002dex31.htm" TargetMode="External"/><Relationship Id="rId3" Type="http://schemas.openxmlformats.org/officeDocument/2006/relationships/hyperlink" Target="http://www.sec.gov/Archives/edgar/data/1840229/000119312525009595/d926991dex31.htm" TargetMode="External"/><Relationship Id="rId4" Type="http://schemas.openxmlformats.org/officeDocument/2006/relationships/hyperlink" Target="http://www.sec.gov/Archives/edgar/data/1840229/000119312521303045/d134002dex32.htm" TargetMode="External"/><Relationship Id="rId5" Type="http://schemas.openxmlformats.org/officeDocument/2006/relationships/hyperlink" Target="http://www.sec.gov/Archives/edgar/data/1840229/000119312521296215/d111280dex106.htm" TargetMode="External"/><Relationship Id="rId6" Type="http://schemas.openxmlformats.org/officeDocument/2006/relationships/hyperlink" Target="http://www.sec.gov/Archives/edgar/data/1840229/000119312521296215/d111280dex107.htm" TargetMode="Externa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2380</Words>
  <Characters>12666</Characters>
  <CharactersWithSpaces>15110</CharactersWithSpaces>
  <Paragraphs>358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